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t xml:space="preserve">太仓市政府采购</w:t>
      </w:r>
      <w:r/>
    </w:p>
    <w:p>
      <w:pPr>
        <w:jc w:val="center"/>
        <w:spacing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t xml:space="preserve"> </w:t>
      </w:r>
      <w:r/>
    </w:p>
    <w:p>
      <w:pPr>
        <w:jc w:val="center"/>
        <w:spacing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lang w:eastAsia="zh-CN"/>
          <w14:textFill>
            <w14:solidFill>
              <w14:schemeClr w14:val="tx1"/>
            </w14:solidFill>
          </w14:textFill>
        </w:rPr>
        <w:t xml:space="preserve">招 标 文 件</w:t>
      </w:r>
      <w:r/>
    </w:p>
    <w:p>
      <w:pPr>
        <w:jc w:val="center"/>
        <w:spacing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lang w:eastAsia="zh-CN"/>
          <w14:textFill>
            <w14:solidFill>
              <w14:schemeClr w14:val="tx1"/>
            </w14:solidFill>
          </w14:textFill>
        </w:rPr>
        <w:t xml:space="preserve"> </w:t>
      </w:r>
      <w:r/>
    </w:p>
    <w:p>
      <w:pPr>
        <w:spacing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lang w:eastAsia="zh-CN"/>
          <w14:textFill>
            <w14:solidFill>
              <w14:schemeClr w14:val="tx1"/>
            </w14:solidFill>
          </w14:textFill>
        </w:rPr>
        <w:t xml:space="preserve"> </w:t>
      </w:r>
      <w:r/>
    </w:p>
    <w:p>
      <w:pPr>
        <w:jc w:val="right"/>
        <w:spacing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2"/>
          <w:highlight w:val="none"/>
          <w:lang w:eastAsia="zh-CN"/>
          <w14:textFill>
            <w14:solidFill>
              <w14:schemeClr w14:val="tx1"/>
            </w14:solidFill>
          </w14:textFill>
        </w:rPr>
        <w:t xml:space="preserve"> </w:t>
      </w:r>
      <w:r/>
    </w:p>
    <w:p>
      <w:pPr>
        <w:ind w:firstLine="1084"/>
        <w:spacing w:line="440" w:lineRule="exac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color w:val="000000" w:themeColor="text1"/>
          <w:sz w:val="36"/>
          <w:highlight w:val="none"/>
          <w:lang w:eastAsia="zh-CN"/>
          <w14:textFill>
            <w14:solidFill>
              <w14:schemeClr w14:val="tx1"/>
            </w14:solidFill>
          </w14:textFill>
        </w:rPr>
        <w:t xml:space="preserve">项目编号：JSZC-320585-JZCG-G2025-0134</w:t>
      </w:r>
      <w:r/>
    </w:p>
    <w:p>
      <w:pPr>
        <w:ind w:firstLine="1084"/>
        <w:spacing w:line="440" w:lineRule="exac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项目名称：太仓市娄江新城医院数智化建设项目</w:t>
      </w:r>
      <w:r/>
    </w:p>
    <w:p>
      <w:pPr>
        <w:ind w:firstLine="2862"/>
        <w:spacing w:line="440" w:lineRule="exac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(一期)算力硬件采购</w:t>
      </w:r>
      <w:r/>
    </w:p>
    <w:p>
      <w:pPr>
        <w:ind w:firstLine="1084"/>
        <w:spacing w:line="440" w:lineRule="exact"/>
        <w:rPr>
          <w:rFonts w:hint="eastAsia" w:ascii="宋体" w:hAnsi="宋体" w:eastAsia="宋体" w:cs="宋体"/>
          <w:b/>
          <w:bCs/>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采购单位：太仓市娄江新城医院（瑞金医院太仓分 </w:t>
      </w:r>
      <w:r>
        <w:rPr>
          <w:rFonts w:ascii="宋体" w:hAnsi="宋体" w:eastAsia="宋体" w:cs="宋体"/>
          <w:b/>
          <w:color w:val="000000" w:themeColor="text1"/>
          <w:sz w:val="36"/>
          <w:highlight w:val="none"/>
          <w:lang w:eastAsia="zh-CN"/>
          <w14:textFill>
            <w14:solidFill>
              <w14:schemeClr w14:val="tx1"/>
            </w14:solidFill>
          </w14:textFill>
        </w:rPr>
      </w:r>
      <w:r/>
    </w:p>
    <w:p>
      <w:pPr>
        <w:ind w:firstLine="1084"/>
        <w:spacing w:line="440" w:lineRule="exact"/>
        <w:rPr>
          <w:rFonts w:ascii="宋体" w:hAnsi="宋体" w:eastAsia="宋体" w:cs="宋体"/>
          <w:b/>
          <w:bCs/>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          院）</w:t>
      </w:r>
      <w:bookmarkEnd w:id="0"/>
      <w:r/>
      <w:r/>
    </w:p>
    <w:p>
      <w:pPr>
        <w:ind w:firstLine="1084"/>
        <w:spacing w:line="440" w:lineRule="exac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采购项目类别：货物类</w:t>
      </w:r>
      <w:r/>
    </w:p>
    <w:p>
      <w:pPr>
        <w:ind w:firstLine="1084"/>
        <w:spacing w:line="440" w:lineRule="exac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标的所属行业：（二）工业</w:t>
      </w:r>
      <w:r/>
    </w:p>
    <w:p>
      <w:pPr>
        <w:jc w:val="center"/>
        <w:spacing w:line="440" w:lineRule="exact"/>
        <w:rPr>
          <w:rFonts w:ascii="宋体" w:hAnsi="宋体" w:eastAsia="宋体" w:cs="宋体"/>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highlight w:val="none"/>
          <w:lang w:eastAsia="zh-CN"/>
          <w14:textFill>
            <w14:solidFill>
              <w14:schemeClr w14:val="tx1"/>
            </w14:solidFill>
          </w14:textFill>
        </w:rPr>
      </w:r>
      <w:r/>
    </w:p>
    <w:p>
      <w:pPr>
        <w:jc w:val="center"/>
        <w:spacing w:line="440" w:lineRule="exact"/>
        <w:rPr>
          <w:rFonts w:ascii="宋体" w:hAnsi="宋体" w:eastAsia="宋体" w:cs="宋体"/>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highlight w:val="none"/>
          <w:lang w:eastAsia="zh-CN"/>
          <w14:textFill>
            <w14:solidFill>
              <w14:schemeClr w14:val="tx1"/>
            </w14:solidFill>
          </w14:textFill>
        </w:rPr>
      </w:r>
      <w:r/>
    </w:p>
    <w:p>
      <w:pPr>
        <w:jc w:val="center"/>
        <w:spacing w:line="440" w:lineRule="exact"/>
        <w:rPr>
          <w:rFonts w:ascii="宋体" w:hAnsi="宋体" w:eastAsia="宋体" w:cs="宋体"/>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highlight w:val="none"/>
          <w:lang w:eastAsia="zh-CN"/>
          <w14:textFill>
            <w14:solidFill>
              <w14:schemeClr w14:val="tx1"/>
            </w14:solidFill>
          </w14:textFill>
        </w:rPr>
      </w:r>
      <w:r/>
    </w:p>
    <w:p>
      <w:pPr>
        <w:jc w:val="center"/>
        <w:spacing w:line="440" w:lineRule="exac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highlight w:val="none"/>
          <w:lang w:eastAsia="zh-CN"/>
          <w14:textFill>
            <w14:solidFill>
              <w14:schemeClr w14:val="tx1"/>
            </w14:solidFill>
          </w14:textFill>
        </w:rPr>
        <w:t xml:space="preserve">苏州市公共资源交易中心太仓分中心</w:t>
      </w:r>
      <w:r/>
    </w:p>
    <w:p>
      <w:pPr>
        <w:jc w:val="center"/>
        <w:spacing w:line="440" w:lineRule="exact"/>
        <w:rPr>
          <w:rFonts w:ascii="宋体" w:hAnsi="宋体" w:eastAsia="宋体" w:cs="宋体"/>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highlight w:val="none"/>
          <w:lang w:eastAsia="zh-CN"/>
          <w14:textFill>
            <w14:solidFill>
              <w14:schemeClr w14:val="tx1"/>
            </w14:solidFill>
          </w14:textFill>
        </w:rPr>
      </w:r>
      <w:r/>
    </w:p>
    <w:p>
      <w:pPr>
        <w:jc w:val="center"/>
        <w:spacing w:line="440" w:lineRule="exact"/>
        <w:rPr>
          <w:rFonts w:ascii="宋体" w:hAnsi="宋体" w:eastAsia="宋体" w:cs="宋体"/>
          <w:color w:val="000000" w:themeColor="text1"/>
          <w:sz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44"/>
          <w:highlight w:val="none"/>
          <w:lang w:eastAsia="zh-CN"/>
          <w14:textFill>
            <w14:solidFill>
              <w14:schemeClr w14:val="tx1"/>
            </w14:solidFill>
          </w14:textFill>
        </w:rPr>
        <w:t xml:space="preserve">202</w:t>
      </w:r>
      <w:r>
        <w:rPr>
          <w:rFonts w:hint="eastAsia" w:ascii="宋体" w:hAnsi="宋体" w:eastAsia="宋体" w:cs="宋体"/>
          <w:color w:val="000000" w:themeColor="text1"/>
          <w:sz w:val="44"/>
          <w:highlight w:val="none"/>
          <w:lang w:eastAsia="zh-CN"/>
          <w14:textFill>
            <w14:solidFill>
              <w14:schemeClr w14:val="tx1"/>
            </w14:solidFill>
          </w14:textFill>
        </w:rPr>
        <w:t xml:space="preserve">5</w:t>
      </w:r>
      <w:r>
        <w:rPr>
          <w:rFonts w:ascii="宋体" w:hAnsi="宋体" w:eastAsia="宋体" w:cs="宋体"/>
          <w:color w:val="000000" w:themeColor="text1"/>
          <w:sz w:val="44"/>
          <w:highlight w:val="none"/>
          <w:lang w:eastAsia="zh-CN"/>
          <w14:textFill>
            <w14:solidFill>
              <w14:schemeClr w14:val="tx1"/>
            </w14:solidFill>
          </w14:textFill>
        </w:rPr>
        <w:t xml:space="preserve">年</w:t>
      </w:r>
      <w:r>
        <w:rPr>
          <w:rFonts w:hint="eastAsia" w:ascii="宋体" w:hAnsi="宋体" w:eastAsia="宋体" w:cs="宋体"/>
          <w:color w:val="000000" w:themeColor="text1"/>
          <w:sz w:val="44"/>
          <w:highlight w:val="none"/>
          <w:lang w:val="en-US" w:eastAsia="zh-CN"/>
          <w14:textFill>
            <w14:solidFill>
              <w14:schemeClr w14:val="tx1"/>
            </w14:solidFill>
          </w14:textFill>
        </w:rPr>
        <w:t xml:space="preserve">11</w:t>
      </w:r>
      <w:r>
        <w:rPr>
          <w:rFonts w:ascii="宋体" w:hAnsi="宋体" w:eastAsia="宋体" w:cs="宋体"/>
          <w:color w:val="000000" w:themeColor="text1"/>
          <w:sz w:val="44"/>
          <w:highlight w:val="none"/>
          <w:lang w:eastAsia="zh-CN"/>
          <w14:textFill>
            <w14:solidFill>
              <w14:schemeClr w14:val="tx1"/>
            </w14:solidFill>
          </w14:textFill>
        </w:rPr>
        <w:t xml:space="preserve">月</w:t>
      </w:r>
      <w:r/>
    </w:p>
    <w:p>
      <w:pPr>
        <w:jc w:val="center"/>
        <w:spacing w:line="85" w:lineRule="atLeas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lang w:eastAsia="zh-CN"/>
          <w14:textFill>
            <w14:solidFill>
              <w14:schemeClr w14:val="tx1"/>
            </w14:solidFill>
          </w14:textFill>
        </w:rPr>
      </w:r>
      <w:r/>
    </w:p>
    <w:p>
      <w:pPr>
        <w:spacing w:line="85" w:lineRule="atLeast"/>
        <w:rPr>
          <w:rFonts w:ascii="宋体" w:hAnsi="宋体" w:eastAsia="宋体" w:cs="宋体"/>
          <w:b/>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lang w:eastAsia="zh-CN"/>
          <w14:textFill>
            <w14:solidFill>
              <w14:schemeClr w14:val="tx1"/>
            </w14:solidFill>
          </w14:textFill>
        </w:rPr>
      </w:r>
      <w:r/>
    </w:p>
    <w:p>
      <w:pPr>
        <w:jc w:val="center"/>
        <w:spacing w:line="85" w:lineRule="atLeas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lang w:eastAsia="zh-CN"/>
          <w14:textFill>
            <w14:solidFill>
              <w14:schemeClr w14:val="tx1"/>
            </w14:solidFill>
          </w14:textFill>
        </w:rPr>
        <w:t xml:space="preserve">目 录</w:t>
      </w:r>
      <w:r/>
    </w:p>
    <w:p>
      <w:pPr>
        <w:spacing w:line="85" w:lineRule="atLeast"/>
        <w:rPr>
          <w:rFonts w:ascii="宋体" w:hAnsi="宋体" w:eastAsia="宋体" w:cs="宋体"/>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30"/>
          <w:highlight w:val="none"/>
          <w:lang w:eastAsia="zh-CN"/>
          <w14:textFill>
            <w14:solidFill>
              <w14:schemeClr w14:val="tx1"/>
            </w14:solidFill>
          </w14:textFill>
        </w:rPr>
      </w:r>
      <w:r/>
    </w:p>
    <w:p>
      <w:pPr>
        <w:spacing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lang w:eastAsia="zh-CN"/>
          <w14:textFill>
            <w14:solidFill>
              <w14:schemeClr w14:val="tx1"/>
            </w14:solidFill>
          </w14:textFill>
        </w:rPr>
        <w:t xml:space="preserve">第一部分：招标公告</w:t>
      </w:r>
      <w:r/>
    </w:p>
    <w:p>
      <w:pPr>
        <w:spacing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lang w:eastAsia="zh-CN"/>
          <w14:textFill>
            <w14:solidFill>
              <w14:schemeClr w14:val="tx1"/>
            </w14:solidFill>
          </w14:textFill>
        </w:rPr>
        <w:t xml:space="preserve">第二部分：投标人须知</w:t>
      </w:r>
      <w:r/>
    </w:p>
    <w:p>
      <w:pPr>
        <w:spacing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lang w:eastAsia="zh-CN"/>
          <w14:textFill>
            <w14:solidFill>
              <w14:schemeClr w14:val="tx1"/>
            </w14:solidFill>
          </w14:textFill>
        </w:rPr>
        <w:t xml:space="preserve">第三部分：项目需求</w:t>
      </w:r>
      <w:r/>
    </w:p>
    <w:p>
      <w:pPr>
        <w:spacing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lang w:eastAsia="zh-CN"/>
          <w14:textFill>
            <w14:solidFill>
              <w14:schemeClr w14:val="tx1"/>
            </w14:solidFill>
          </w14:textFill>
        </w:rPr>
        <w:t xml:space="preserve">第四部分：投标文件格式</w:t>
      </w:r>
      <w:r/>
    </w:p>
    <w:p>
      <w:pPr>
        <w:spacing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lang w:eastAsia="zh-CN"/>
          <w14:textFill>
            <w14:solidFill>
              <w14:schemeClr w14:val="tx1"/>
            </w14:solidFill>
          </w14:textFill>
        </w:rPr>
        <w:t xml:space="preserve">第五部分：评标方法与评标标准</w:t>
      </w:r>
      <w:r/>
    </w:p>
    <w:p>
      <w:pPr>
        <w:spacing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lang w:eastAsia="zh-CN"/>
          <w14:textFill>
            <w14:solidFill>
              <w14:schemeClr w14:val="tx1"/>
            </w14:solidFill>
          </w14:textFill>
        </w:rPr>
        <w:t xml:space="preserve">第六部分：合同主要条款</w:t>
      </w:r>
      <w:r/>
    </w:p>
    <w:p>
      <w:pPr>
        <w:spacing w:before="240" w:after="240" w:line="52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spacing w:before="240" w:after="240"/>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spacing w:before="240" w:after="240"/>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spacing w:before="240" w:after="240"/>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spacing w:before="240" w:after="240"/>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spacing w:before="240" w:after="240"/>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jc w:val="center"/>
        <w:spacing w:before="240" w:after="240"/>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br w:type="page" w:clear="all"/>
      </w:r>
      <w:r/>
    </w:p>
    <w:p>
      <w:pPr>
        <w:pStyle w:val="722"/>
        <w:jc w:val="center"/>
        <w:rPr>
          <w:rFonts w:asciiTheme="majorHAnsi" w:hAnsiTheme="majorHAnsi" w:cstheme="majorHAnsi"/>
          <w:color w:val="000000" w:themeColor="text1"/>
          <w:sz w:val="24"/>
          <w:szCs w:val="24"/>
          <w:highlight w:val="none"/>
          <w:shd w:val="clear" w:color="auto" w:fill="ffffff"/>
          <w14:textFill>
            <w14:solidFill>
              <w14:schemeClr w14:val="tx1"/>
            </w14:solidFill>
          </w14:textFill>
        </w:rPr>
      </w:pPr>
      <w:r>
        <w:rPr>
          <w:rFonts w:eastAsia="宋体" w:asciiTheme="majorHAnsi" w:hAnsiTheme="majorHAnsi" w:cstheme="majorHAnsi"/>
          <w:color w:val="000000" w:themeColor="text1"/>
          <w:highlight w:val="none"/>
          <w14:textFill>
            <w14:solidFill>
              <w14:schemeClr w14:val="tx1"/>
            </w14:solidFill>
          </w14:textFill>
        </w:rPr>
        <w:t xml:space="preserve">第一部分</w:t>
      </w:r>
      <w:r>
        <w:rPr>
          <w:rFonts w:asciiTheme="majorHAnsi" w:hAnsiTheme="majorHAnsi" w:cstheme="majorHAnsi"/>
          <w:color w:val="000000" w:themeColor="text1"/>
          <w:highlight w:val="none"/>
          <w14:textFill>
            <w14:solidFill>
              <w14:schemeClr w14:val="tx1"/>
            </w14:solidFill>
          </w14:textFill>
        </w:rPr>
        <w:t xml:space="preserve">  </w:t>
      </w:r>
      <w:r>
        <w:rPr>
          <w:rFonts w:eastAsia="宋体" w:asciiTheme="majorHAnsi" w:hAnsiTheme="majorHAnsi" w:cstheme="majorHAnsi"/>
          <w:color w:val="000000" w:themeColor="text1"/>
          <w:highlight w:val="none"/>
          <w14:textFill>
            <w14:solidFill>
              <w14:schemeClr w14:val="tx1"/>
            </w14:solidFill>
          </w14:textFill>
        </w:rPr>
        <w:t xml:space="preserve">招标公告</w:t>
      </w:r>
      <w:bookmarkStart w:id="1" w:name="OLE_LINK14"/>
      <w:r/>
      <w:r/>
    </w:p>
    <w:tbl>
      <w:tblPr>
        <w:tblStyle w:val="732"/>
        <w:tblW w:w="500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450"/>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pStyle w:val="761"/>
              <w:keepLines w:val="0"/>
              <w:keepNext w:val="0"/>
              <w:pageBreakBefore w:val="0"/>
              <w:spacing w:beforeAutospacing="0" w:afterAutospacing="0" w:line="360" w:lineRule="auto"/>
              <w:widowControl/>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项目概况</w:t>
            </w:r>
            <w:r/>
          </w:p>
          <w:p>
            <w:pPr>
              <w:pStyle w:val="761"/>
              <w:keepLines w:val="0"/>
              <w:keepNext w:val="0"/>
              <w:pageBreakBefore w:val="0"/>
              <w:spacing w:beforeAutospacing="0" w:afterAutospacing="0" w:line="360" w:lineRule="auto"/>
              <w:widowControl/>
              <w:rPr>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太仓市娄江新城医院数智化建设项目(一期)算力硬件采购JSZC-320585-JZCG-G2025-0134招标项目的潜在投标人应在“苏采云”系统（网址：http://jszfcg.jsczt.cn/）自行下载 获取招标文件，并于</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2025-12-05</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09:30 （北京时间）前递交投标文件。</w:t>
            </w:r>
            <w:r/>
          </w:p>
        </w:tc>
      </w:tr>
    </w:tbl>
    <w:p>
      <w:pPr>
        <w:pStyle w:val="723"/>
        <w:keepLines w:val="0"/>
        <w:keepNext w:val="0"/>
        <w:pageBreakBefore w:val="0"/>
        <w:spacing w:before="0" w:beforeAutospacing="0" w:after="0" w:afterAutospacing="0" w:line="360" w:lineRule="auto"/>
        <w:widowControl/>
        <w:rPr>
          <w:rFonts w:ascii="宋体" w:hAnsi="宋体" w:eastAsia="宋体" w:cs="宋体"/>
          <w:color w:val="000000" w:themeColor="text1"/>
          <w:highlight w:val="none"/>
          <w:lang w:eastAsia="zh-CN"/>
          <w14:textFill>
            <w14:solidFill>
              <w14:schemeClr w14:val="tx1"/>
            </w14:solidFill>
          </w14:textFill>
        </w:rPr>
      </w:pPr>
      <w:r>
        <w:rPr>
          <w:rStyle w:val="766"/>
          <w:rFonts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一、项目基本情况</w:t>
      </w:r>
      <w:r/>
    </w:p>
    <w:p>
      <w:pPr>
        <w:pStyle w:val="761"/>
        <w:keepLines w:val="0"/>
        <w:keepNext w:val="0"/>
        <w:pageBreakBefore w:val="0"/>
        <w:spacing w:beforeAutospacing="0" w:afterAutospacing="0" w:line="360" w:lineRule="auto"/>
        <w:widowControl/>
        <w:rPr>
          <w:rFonts w:ascii="仿宋" w:hAnsi="仿宋" w:eastAsia="仿宋" w:cs="仿宋"/>
          <w:color w:val="000000" w:themeColor="text1"/>
          <w:sz w:val="24"/>
          <w:szCs w:val="24"/>
          <w:highlight w:val="none"/>
          <w:shd w:val="clear" w:color="auto" w:fill="ffffff"/>
          <w14:textFill>
            <w14:solidFill>
              <w14:schemeClr w14:val="tx1"/>
            </w14:solidFill>
          </w14:textFill>
        </w:rPr>
      </w:pPr>
      <w:r/>
      <w:bookmarkStart w:id="2" w:name="OLE_LINK35"/>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项目编号：JSZC-320585-JZCG-G2025-0134</w:t>
      </w:r>
      <w:r/>
    </w:p>
    <w:p>
      <w:pPr>
        <w:pStyle w:val="761"/>
        <w:keepLines w:val="0"/>
        <w:keepNext w:val="0"/>
        <w:pageBreakBefore w:val="0"/>
        <w:spacing w:beforeAutospacing="0" w:afterAutospacing="0" w:line="360" w:lineRule="auto"/>
        <w:widowControl/>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项目名称：太仓市娄江新城医院数智化建设项目(一期)算力硬件采购</w:t>
      </w:r>
      <w:r/>
    </w:p>
    <w:p>
      <w:pPr>
        <w:pStyle w:val="761"/>
        <w:keepLines w:val="0"/>
        <w:keepNext w:val="0"/>
        <w:pageBreakBefore w:val="0"/>
        <w:spacing w:beforeAutospacing="0" w:afterAutospacing="0" w:line="360" w:lineRule="auto"/>
        <w:widowControl/>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预算金额：</w:t>
      </w:r>
      <w:bookmarkStart w:id="3" w:name="OLE_LINK18"/>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400 万元；</w:t>
      </w:r>
      <w:bookmarkEnd w:id="3"/>
      <w:r/>
      <w:r/>
    </w:p>
    <w:p>
      <w:pPr>
        <w:pStyle w:val="761"/>
        <w:keepLines w:val="0"/>
        <w:keepNext w:val="0"/>
        <w:pageBreakBefore w:val="0"/>
        <w:spacing w:beforeAutospacing="0" w:afterAutospacing="0" w:line="360" w:lineRule="auto"/>
        <w:widowControl/>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最高限价：</w:t>
      </w:r>
      <w:bookmarkStart w:id="4" w:name="OLE_LINK61"/>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400 万元；</w:t>
      </w:r>
      <w:bookmarkEnd w:id="4"/>
      <w:r/>
      <w:r/>
    </w:p>
    <w:p>
      <w:pPr>
        <w:pStyle w:val="761"/>
        <w:keepLines w:val="0"/>
        <w:keepNext w:val="0"/>
        <w:pageBreakBefore w:val="0"/>
        <w:spacing w:beforeAutospacing="0" w:afterAutospacing="0" w:line="360" w:lineRule="auto"/>
        <w:widowControl/>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采购方式：公开招标 </w:t>
      </w:r>
      <w:bookmarkEnd w:id="1"/>
      <w:r/>
      <w:bookmarkEnd w:id="2"/>
      <w:r/>
      <w:r/>
    </w:p>
    <w:p>
      <w:pPr>
        <w:pStyle w:val="761"/>
        <w:keepLines w:val="0"/>
        <w:keepNext w:val="0"/>
        <w:pageBreakBefore w:val="0"/>
        <w:spacing w:beforeAutospacing="0" w:afterAutospacing="0" w:line="360" w:lineRule="auto"/>
        <w:widowControl/>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采购需求：</w:t>
      </w:r>
      <w:bookmarkStart w:id="5" w:name="OLE_LINK58"/>
      <w:r/>
      <w:r/>
    </w:p>
    <w:tbl>
      <w:tblPr>
        <w:tblStyle w:val="73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77"/>
        <w:gridCol w:w="2988"/>
        <w:gridCol w:w="4101"/>
        <w:gridCol w:w="1384"/>
      </w:tblGrid>
      <w:tr>
        <w:trPr>
          <w:jc w:val="center"/>
          <w:trHeight w:val="90"/>
        </w:trPr>
        <w:tc>
          <w:tcPr>
            <w:tcBorders>
              <w:top w:val="single" w:color="auto" w:sz="4" w:space="0"/>
              <w:left w:val="single" w:color="auto" w:sz="4" w:space="0"/>
              <w:bottom w:val="single" w:color="000000" w:sz="4" w:space="0"/>
              <w:right w:val="single" w:color="000000" w:sz="4" w:space="0"/>
            </w:tcBorders>
            <w:tcW w:w="610" w:type="pct"/>
            <w:vAlign w:val="center"/>
            <w:textDirection w:val="lrTb"/>
            <w:noWrap/>
          </w:tcPr>
          <w:p>
            <w:pPr>
              <w:jc w:val="center"/>
              <w:spacing w:line="24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000000" w:sz="4" w:space="0"/>
              <w:bottom w:val="single" w:color="000000" w:sz="4" w:space="0"/>
              <w:right w:val="single" w:color="000000" w:sz="4" w:space="0"/>
            </w:tcBorders>
            <w:tcW w:w="1548" w:type="pct"/>
            <w:vAlign w:val="center"/>
            <w:textDirection w:val="lrTb"/>
            <w:noWrap/>
          </w:tcPr>
          <w:p>
            <w:pPr>
              <w:jc w:val="center"/>
              <w:spacing w:line="24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产品</w:t>
            </w:r>
            <w:r/>
          </w:p>
        </w:tc>
        <w:tc>
          <w:tcPr>
            <w:tcBorders>
              <w:top w:val="single" w:color="auto" w:sz="4" w:space="0"/>
              <w:left w:val="single" w:color="000000" w:sz="4" w:space="0"/>
              <w:bottom w:val="single" w:color="000000" w:sz="4" w:space="0"/>
              <w:right w:val="single" w:color="000000" w:sz="4" w:space="0"/>
            </w:tcBorders>
            <w:tcW w:w="2125" w:type="pct"/>
            <w:vAlign w:val="center"/>
            <w:textDirection w:val="lrTb"/>
            <w:noWrap w:val="false"/>
          </w:tcPr>
          <w:p>
            <w:pPr>
              <w:jc w:val="center"/>
              <w:spacing w:line="24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参数</w:t>
            </w:r>
            <w:r/>
          </w:p>
        </w:tc>
        <w:tc>
          <w:tcPr>
            <w:tcBorders>
              <w:top w:val="single" w:color="auto" w:sz="4" w:space="0"/>
              <w:left w:val="single" w:color="000000" w:sz="4" w:space="0"/>
              <w:bottom w:val="single" w:color="000000" w:sz="4" w:space="0"/>
              <w:right w:val="single" w:color="auto" w:sz="4" w:space="0"/>
            </w:tcBorders>
            <w:tcW w:w="717" w:type="pct"/>
            <w:vAlign w:val="center"/>
            <w:textDirection w:val="lrTb"/>
            <w:noWrap/>
          </w:tcPr>
          <w:p>
            <w:pPr>
              <w:jc w:val="center"/>
              <w:spacing w:line="24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数量</w:t>
            </w:r>
            <w:r/>
          </w:p>
        </w:tc>
      </w:tr>
      <w:tr>
        <w:trPr>
          <w:jc w:val="center"/>
          <w:trHeight w:val="90"/>
        </w:trPr>
        <w:tc>
          <w:tcPr>
            <w:tcBorders>
              <w:top w:val="single" w:color="000000" w:sz="4" w:space="0"/>
              <w:left w:val="single" w:color="auto" w:sz="4" w:space="0"/>
              <w:bottom w:val="single" w:color="000000" w:sz="4" w:space="0"/>
              <w:right w:val="single" w:color="000000" w:sz="4" w:space="0"/>
            </w:tcBorders>
            <w:tcW w:w="610" w:type="pct"/>
            <w:vAlign w:val="center"/>
            <w:textDirection w:val="lrTb"/>
            <w:noWrap/>
          </w:tcPr>
          <w:p>
            <w:pPr>
              <w:jc w:val="center"/>
              <w:spacing w:line="24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48" w:type="pct"/>
            <w:vAlign w:val="center"/>
            <w:textDirection w:val="lrTb"/>
            <w:noWrap w:val="false"/>
          </w:tcPr>
          <w:p>
            <w:pPr>
              <w:jc w:val="center"/>
              <w:spacing w:line="24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AI算力服务器</w:t>
            </w:r>
            <w:r/>
          </w:p>
        </w:tc>
        <w:tc>
          <w:tcPr>
            <w:tcBorders>
              <w:top w:val="single" w:color="000000" w:sz="4" w:space="0"/>
              <w:left w:val="single" w:color="000000" w:sz="4" w:space="0"/>
              <w:bottom w:val="single" w:color="000000" w:sz="4" w:space="0"/>
              <w:right w:val="single" w:color="000000" w:sz="4" w:space="0"/>
            </w:tcBorders>
            <w:tcW w:w="2125" w:type="pct"/>
            <w:vAlign w:val="center"/>
            <w:textDirection w:val="lrTb"/>
            <w:noWrap w:val="false"/>
          </w:tcPr>
          <w:p>
            <w:pPr>
              <w:jc w:val="center"/>
              <w:spacing w:line="24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详细见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AI算力服务器技术要求</w:t>
            </w:r>
            <w:r/>
          </w:p>
        </w:tc>
        <w:tc>
          <w:tcPr>
            <w:tcBorders>
              <w:top w:val="single" w:color="000000" w:sz="4" w:space="0"/>
              <w:left w:val="single" w:color="000000" w:sz="4" w:space="0"/>
              <w:bottom w:val="single" w:color="000000" w:sz="4" w:space="0"/>
              <w:right w:val="single" w:color="auto" w:sz="4" w:space="0"/>
            </w:tcBorders>
            <w:tcW w:w="717" w:type="pct"/>
            <w:vAlign w:val="center"/>
            <w:textDirection w:val="lrTb"/>
            <w:noWrap/>
          </w:tcPr>
          <w:p>
            <w:pPr>
              <w:ind w:firstLine="360"/>
              <w:spacing w:line="24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4</w:t>
            </w:r>
            <w:r/>
          </w:p>
        </w:tc>
      </w:tr>
      <w:tr>
        <w:trPr>
          <w:jc w:val="center"/>
          <w:trHeight w:val="90"/>
        </w:trPr>
        <w:tc>
          <w:tcPr>
            <w:tcBorders>
              <w:top w:val="single" w:color="000000" w:sz="4" w:space="0"/>
              <w:left w:val="single" w:color="auto" w:sz="4" w:space="0"/>
              <w:bottom w:val="single" w:color="000000" w:sz="4" w:space="0"/>
              <w:right w:val="single" w:color="000000" w:sz="4" w:space="0"/>
            </w:tcBorders>
            <w:tcW w:w="610" w:type="pct"/>
            <w:vAlign w:val="center"/>
            <w:textDirection w:val="lrTb"/>
            <w:noWrap/>
          </w:tcPr>
          <w:p>
            <w:pPr>
              <w:jc w:val="center"/>
              <w:spacing w:line="240" w:lineRule="auto"/>
              <w:rPr>
                <w:rFonts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48" w:type="pct"/>
            <w:vAlign w:val="center"/>
            <w:textDirection w:val="lrTb"/>
            <w:noWrap w:val="false"/>
          </w:tcPr>
          <w:p>
            <w:pPr>
              <w:jc w:val="center"/>
              <w:spacing w:line="240" w:lineRule="auto"/>
              <w:rPr>
                <w:rFonts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宋体"/>
                <w:color w:val="000000" w:themeColor="text1"/>
                <w:sz w:val="24"/>
                <w:szCs w:val="24"/>
                <w:highlight w:val="none"/>
                <w:lang w:eastAsia="zh-CN" w:bidi="ar"/>
                <w14:textFill>
                  <w14:solidFill>
                    <w14:schemeClr w14:val="tx1"/>
                  </w14:solidFill>
                </w14:textFill>
              </w:rPr>
              <w:t xml:space="preserve">配套网络交换设备</w:t>
            </w:r>
            <w:r/>
          </w:p>
        </w:tc>
        <w:tc>
          <w:tcPr>
            <w:tcBorders>
              <w:top w:val="single" w:color="000000" w:sz="4" w:space="0"/>
              <w:left w:val="single" w:color="000000" w:sz="4" w:space="0"/>
              <w:bottom w:val="single" w:color="000000" w:sz="4" w:space="0"/>
              <w:right w:val="single" w:color="000000" w:sz="4" w:space="0"/>
            </w:tcBorders>
            <w:tcW w:w="2125" w:type="pct"/>
            <w:vAlign w:val="center"/>
            <w:textDirection w:val="lrTb"/>
            <w:noWrap w:val="false"/>
          </w:tcPr>
          <w:p>
            <w:pPr>
              <w:jc w:val="center"/>
              <w:spacing w:line="240" w:lineRule="auto"/>
              <w:rPr>
                <w:rFonts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等线"/>
                <w:color w:val="000000" w:themeColor="text1"/>
                <w:sz w:val="24"/>
                <w:szCs w:val="24"/>
                <w:highlight w:val="none"/>
                <w:lang w:eastAsia="zh-CN" w:bidi="ar"/>
                <w14:textFill>
                  <w14:solidFill>
                    <w14:schemeClr w14:val="tx1"/>
                  </w14:solidFill>
                </w14:textFill>
              </w:rPr>
              <w:t xml:space="preserve">详细见</w:t>
            </w:r>
            <w:r>
              <w:rPr>
                <w:rFonts w:hint="eastAsia" w:ascii="仿宋" w:hAnsi="仿宋" w:eastAsia="仿宋" w:cs="宋体"/>
                <w:color w:val="000000" w:themeColor="text1"/>
                <w:sz w:val="24"/>
                <w:szCs w:val="24"/>
                <w:highlight w:val="none"/>
                <w:lang w:eastAsia="zh-CN"/>
                <w14:textFill>
                  <w14:solidFill>
                    <w14:schemeClr w14:val="tx1"/>
                  </w14:solidFill>
                </w14:textFill>
              </w:rPr>
              <w:t xml:space="preserve">网络设备</w:t>
            </w:r>
            <w:r>
              <w:rPr>
                <w:rFonts w:ascii="仿宋" w:hAnsi="仿宋" w:eastAsia="仿宋"/>
                <w:color w:val="000000" w:themeColor="text1"/>
                <w:sz w:val="24"/>
                <w:szCs w:val="24"/>
                <w:highlight w:val="none"/>
                <w:lang w:eastAsia="zh-CN"/>
                <w14:textFill>
                  <w14:solidFill>
                    <w14:schemeClr w14:val="tx1"/>
                  </w14:solidFill>
                </w14:textFill>
              </w:rPr>
              <w:t xml:space="preserve">技术</w:t>
            </w:r>
            <w:r>
              <w:rPr>
                <w:rFonts w:hint="eastAsia" w:ascii="仿宋" w:hAnsi="仿宋" w:eastAsia="仿宋"/>
                <w:color w:val="000000" w:themeColor="text1"/>
                <w:sz w:val="24"/>
                <w:szCs w:val="24"/>
                <w:highlight w:val="none"/>
                <w:lang w:eastAsia="zh-CN"/>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auto" w:sz="4" w:space="0"/>
            </w:tcBorders>
            <w:tcW w:w="717" w:type="pct"/>
            <w:vAlign w:val="center"/>
            <w:textDirection w:val="lrTb"/>
            <w:noWrap/>
          </w:tcPr>
          <w:p>
            <w:pPr>
              <w:ind w:firstLine="360"/>
              <w:spacing w:line="240" w:lineRule="auto"/>
              <w:rPr>
                <w:rFonts w:ascii="仿宋" w:hAnsi="仿宋" w:eastAsia="仿宋" w:cs="仿宋"/>
                <w:color w:val="000000" w:themeColor="text1"/>
                <w:sz w:val="24"/>
                <w:szCs w:val="24"/>
                <w:highlight w:val="none"/>
                <w:lang w:bidi="ar"/>
                <w14:textFill>
                  <w14:solidFill>
                    <w14:schemeClr w14:val="tx1"/>
                  </w14:solidFill>
                </w14:textFill>
              </w:rPr>
            </w:pPr>
            <w:r>
              <w:rPr>
                <w:rFonts w:ascii="仿宋" w:hAnsi="仿宋" w:eastAsia="仿宋" w:cs="等线"/>
                <w:color w:val="000000" w:themeColor="text1"/>
                <w:sz w:val="24"/>
                <w:szCs w:val="24"/>
                <w:highlight w:val="none"/>
                <w:lang w:eastAsia="zh-CN" w:bidi="ar"/>
                <w14:textFill>
                  <w14:solidFill>
                    <w14:schemeClr w14:val="tx1"/>
                  </w14:solidFill>
                </w14:textFill>
              </w:rPr>
              <w:t xml:space="preserve">3</w:t>
            </w:r>
            <w:r/>
          </w:p>
        </w:tc>
      </w:tr>
    </w:tbl>
    <w:p>
      <w:pPr>
        <w:pStyle w:val="761"/>
        <w:keepLines w:val="0"/>
        <w:keepNext w:val="0"/>
        <w:pageBreakBefore w:val="0"/>
        <w:spacing w:beforeAutospacing="0" w:afterAutospacing="0" w:line="360" w:lineRule="auto"/>
        <w:widowControl/>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具体内容详见第三部分项目需求。</w:t>
      </w:r>
      <w:bookmarkEnd w:id="5"/>
      <w:r/>
      <w:r/>
    </w:p>
    <w:p>
      <w:pPr>
        <w:pStyle w:val="761"/>
        <w:keepLines w:val="0"/>
        <w:keepNext w:val="0"/>
        <w:pageBreakBefore w:val="0"/>
        <w:spacing w:beforeAutospacing="0" w:afterAutospacing="0" w:line="360" w:lineRule="auto"/>
        <w:widowControl/>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合同履行期限：</w:t>
      </w:r>
      <w:bookmarkStart w:id="6" w:name="OLE_LINK6"/>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合同签订生效后1个月完成硬件产品交货，到货后90天安装、调试，使其具备验收条件。系统至少提供3个月的试运行期。质保期不少于3年。</w:t>
      </w:r>
      <w:bookmarkEnd w:id="6"/>
      <w:r/>
      <w:r/>
    </w:p>
    <w:p>
      <w:pPr>
        <w:pStyle w:val="761"/>
        <w:keepLines w:val="0"/>
        <w:keepNext w:val="0"/>
        <w:pageBreakBefore w:val="0"/>
        <w:spacing w:beforeAutospacing="0" w:afterAutospacing="0" w:line="360" w:lineRule="auto"/>
        <w:widowControl/>
        <w:rPr>
          <w:rFonts w:hint="eastAsia"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本项目（是/否）接受联合体投标：不接受联合体。</w:t>
      </w:r>
      <w:r/>
    </w:p>
    <w:p>
      <w:pPr>
        <w:pStyle w:val="723"/>
        <w:keepLines w:val="0"/>
        <w:keepNext w:val="0"/>
        <w:pageBreakBefore w:val="0"/>
        <w:spacing w:before="0" w:beforeAutospacing="0" w:after="0" w:afterAutospacing="0" w:line="360" w:lineRule="auto"/>
        <w:rPr>
          <w:color w:val="000000" w:themeColor="text1"/>
          <w:highlight w:val="none"/>
          <w:lang w:eastAsia="zh-CN"/>
          <w14:textFill>
            <w14:solidFill>
              <w14:schemeClr w14:val="tx1"/>
            </w14:solidFill>
          </w14:textFill>
        </w:rPr>
      </w:pPr>
      <w:r>
        <w:rPr>
          <w:rStyle w:val="766"/>
          <w:rFonts w:hint="eastAsia"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二、申请人的资格要求</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（一）满足《中华人民共和国政府采购法》第二十二条规定：</w:t>
      </w:r>
      <w:r/>
    </w:p>
    <w:p>
      <w:pPr>
        <w:pStyle w:val="761"/>
        <w:keepLines w:val="0"/>
        <w:keepNext w:val="0"/>
        <w:pageBreakBefore w:val="0"/>
        <w:spacing w:beforeAutospacing="0" w:afterAutospacing="0" w:line="360" w:lineRule="auto"/>
        <w:rPr>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1.具有独立承担民事责任的能力证明。包括法人或者其他组织的营业执照等证明文件，自然人的身份证明；</w:t>
      </w:r>
      <w:r/>
    </w:p>
    <w:p>
      <w:pPr>
        <w:pStyle w:val="761"/>
        <w:keepLines w:val="0"/>
        <w:keepNext w:val="0"/>
        <w:pageBreakBefore w:val="0"/>
        <w:spacing w:beforeAutospacing="0" w:afterAutospacing="0" w:line="360" w:lineRule="auto"/>
        <w:rPr>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2.具有良好的商业信誉和健全的财务会计制度证明；</w:t>
      </w:r>
      <w:r/>
    </w:p>
    <w:p>
      <w:pPr>
        <w:pStyle w:val="761"/>
        <w:keepLines w:val="0"/>
        <w:keepNext w:val="0"/>
        <w:pageBreakBefore w:val="0"/>
        <w:spacing w:beforeAutospacing="0" w:afterAutospacing="0" w:line="360" w:lineRule="auto"/>
        <w:rPr>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3.具备履行合同所必需的设备和专业技术能力的证明材料或承诺；</w:t>
      </w:r>
      <w:r/>
    </w:p>
    <w:p>
      <w:pPr>
        <w:pStyle w:val="761"/>
        <w:keepLines w:val="0"/>
        <w:keepNext w:val="0"/>
        <w:pageBreakBefore w:val="0"/>
        <w:spacing w:beforeAutospacing="0" w:afterAutospacing="0" w:line="360" w:lineRule="auto"/>
        <w:rPr>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4.依法缴纳税收和社会保障资金的相关资料；</w:t>
      </w:r>
      <w:r/>
    </w:p>
    <w:p>
      <w:pPr>
        <w:pStyle w:val="761"/>
        <w:keepLines w:val="0"/>
        <w:keepNext w:val="0"/>
        <w:pageBreakBefore w:val="0"/>
        <w:spacing w:beforeAutospacing="0" w:afterAutospacing="0" w:line="360" w:lineRule="auto"/>
        <w:rPr>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5.参加政府采购活动前三年内在经营活动中没有重大违法记录的书面声明函；</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6.未被“信用中国”网站（www.creditchina.gov.cn）列入失信被执行人、重大税收违法案件当事人名单、政府采购严重失信行为记录名单；</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7.采购文件要求的其他资格证明文件。</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（二）落实政府采购政策需满足的资格要求：</w:t>
      </w:r>
      <w:r/>
    </w:p>
    <w:p>
      <w:pPr>
        <w:pStyle w:val="954"/>
        <w:keepLines w:val="0"/>
        <w:keepNext w:val="0"/>
        <w:pageBreakBefore w:val="0"/>
        <w:spacing w:beforeAutospacing="0" w:afterAutospacing="0"/>
        <w:rPr>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无</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（三）本项目的特定资格要求： </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bookmarkStart w:id="7" w:name="OLE_LINK59"/>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（四）拒绝下述供应商参加本次采购活动：</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1、供应商单位负责人为同一人或者存在直接控股、管理关系的不同供应商，不得参加同一合同项下的政府采购活动。</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2、凡为采购项目提供整体设计、规范编制或者项目管理、监理、检测等服务的供应商，不得再参加本项目的采购活动。</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3、法人的分支机构不得参加响应活动（除银行、保险、石油石化、电力、电信等行业特殊情况外）。</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7"/>
      <w:r/>
      <w:r/>
    </w:p>
    <w:p>
      <w:pPr>
        <w:pStyle w:val="723"/>
        <w:keepLines w:val="0"/>
        <w:keepNext w:val="0"/>
        <w:pageBreakBefore w:val="0"/>
        <w:spacing w:before="0" w:beforeAutospacing="0" w:after="0" w:afterAutospacing="0" w:line="360" w:lineRule="auto"/>
        <w:rPr>
          <w:color w:val="000000" w:themeColor="text1"/>
          <w:highlight w:val="none"/>
          <w:lang w:eastAsia="zh-CN"/>
          <w14:textFill>
            <w14:solidFill>
              <w14:schemeClr w14:val="tx1"/>
            </w14:solidFill>
          </w14:textFill>
        </w:rPr>
      </w:pPr>
      <w:r>
        <w:rPr>
          <w:rStyle w:val="766"/>
          <w:rFonts w:hint="eastAsia"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三、获取招标文件</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时间：自招标文件公告发布之日起5个工作日</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地点：“苏采云”系统（网址：http://jszfcg.jsczt.cn/）自行下载 </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方式：自行下载 </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售价：0.00元 </w:t>
      </w:r>
      <w:r/>
    </w:p>
    <w:p>
      <w:pPr>
        <w:pStyle w:val="723"/>
        <w:keepLines w:val="0"/>
        <w:keepNext w:val="0"/>
        <w:pageBreakBefore w:val="0"/>
        <w:spacing w:before="0" w:beforeAutospacing="0" w:after="0" w:afterAutospacing="0" w:line="360" w:lineRule="auto"/>
        <w:rPr>
          <w:color w:val="000000" w:themeColor="text1"/>
          <w:highlight w:val="none"/>
          <w:lang w:eastAsia="zh-CN"/>
          <w14:textFill>
            <w14:solidFill>
              <w14:schemeClr w14:val="tx1"/>
            </w14:solidFill>
          </w14:textFill>
        </w:rPr>
      </w:pPr>
      <w:r>
        <w:rPr>
          <w:rStyle w:val="766"/>
          <w:rFonts w:hint="eastAsia"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四、提交投标文件截止时间、开标时间和地点</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2025-12-05</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 09:30 （北京时间）</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地点：苏采云系统 </w:t>
      </w:r>
      <w:r/>
    </w:p>
    <w:p>
      <w:pPr>
        <w:pStyle w:val="723"/>
        <w:keepLines w:val="0"/>
        <w:keepNext w:val="0"/>
        <w:pageBreakBefore w:val="0"/>
        <w:spacing w:before="0" w:beforeAutospacing="0" w:after="0" w:afterAutospacing="0" w:line="360" w:lineRule="auto"/>
        <w:shd w:val="clear" w:color="auto" w:fill="ffffff"/>
        <w:rPr>
          <w:rFonts w:ascii="宋体" w:hAnsi="宋体" w:eastAsia="宋体" w:cs="宋体"/>
          <w:color w:val="000000" w:themeColor="text1"/>
          <w:highlight w:val="none"/>
          <w:lang w:eastAsia="zh-CN"/>
          <w14:textFill>
            <w14:solidFill>
              <w14:schemeClr w14:val="tx1"/>
            </w14:solidFill>
          </w14:textFill>
        </w:rPr>
      </w:pPr>
      <w:r>
        <w:rPr>
          <w:rStyle w:val="766"/>
          <w:rFonts w:hint="eastAsia"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五、公告期限</w:t>
      </w:r>
      <w:r/>
    </w:p>
    <w:p>
      <w:pPr>
        <w:pStyle w:val="761"/>
        <w:keepLines w:val="0"/>
        <w:keepNext w:val="0"/>
        <w:pageBreakBefore w:val="0"/>
        <w:spacing w:beforeAutospacing="0" w:afterAutospacing="0" w:line="360" w:lineRule="auto"/>
        <w:shd w:val="clear" w:color="auto" w:fill="ffffff"/>
        <w:rPr>
          <w:rFonts w:ascii="宋体" w:hAnsi="宋体" w:eastAsia="宋体" w:cs="宋体"/>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自本公告发布之日起5个工作日</w:t>
      </w:r>
      <w:r/>
    </w:p>
    <w:p>
      <w:pPr>
        <w:pStyle w:val="723"/>
        <w:keepLines w:val="0"/>
        <w:keepNext w:val="0"/>
        <w:pageBreakBefore w:val="0"/>
        <w:spacing w:before="0" w:beforeAutospacing="0" w:after="0" w:afterAutospacing="0" w:line="360" w:lineRule="auto"/>
        <w:rPr>
          <w:color w:val="000000" w:themeColor="text1"/>
          <w:highlight w:val="none"/>
          <w:lang w:eastAsia="zh-CN"/>
          <w14:textFill>
            <w14:solidFill>
              <w14:schemeClr w14:val="tx1"/>
            </w14:solidFill>
          </w14:textFill>
        </w:rPr>
      </w:pPr>
      <w:r>
        <w:rPr>
          <w:rStyle w:val="766"/>
          <w:rFonts w:hint="eastAsia"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六、其他补充事宜</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bookmarkStart w:id="8" w:name="OLE_LINK60"/>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beforeAutospacing="0" w:after="0" w:afterAutospacing="0" w:line="360" w:lineRule="auto"/>
        <w:rPr>
          <w:rFonts w:ascii="仿宋" w:hAnsi="仿宋" w:eastAsia="仿宋" w:cs="仿宋"/>
          <w:b/>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ascii="仿宋" w:hAnsi="仿宋" w:eastAsia="仿宋" w:cs="仿宋"/>
          <w:b/>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、本项目采用不见面开标，投标人开标时无需到开标现场进行解密，采取网上开标大厅解密电子投标文件，投标人远程解密要求如下：</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2）投标人登录苏采云系统，点击开标大厅，选择开标项目，完成不见面开标流程。</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3）投标截止时间后根据系统提示解密电子投标文件。</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解密时间为15分钟，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未在规定时间内完成解密，其投标文件将被拒绝，不参与后续投标流程。</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有关苏采云系统驱动安装，</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登录苏州政府采购网，点击页面底部苏采云图标，进入苏采云政府采购一体化平台，点击“驱动下载”，下载</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“政务CA、方正签章控件驱动安装包及安装说明”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文件，按要求安装驱动。</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有关供应商注册、报名、下载电子招标文件、制作上传电子投标文件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、不见面开标及其他注意事项登录苏州政府采购网，在“下载中心”栏目下载“</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苏采云系统供应商操作</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手册</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”查阅。</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6、有关办理CA数字申领及电子签章事项，登录苏州政府采购网，点击页面底部苏采云图标，进入苏采云政府采购一体化平台，下载“新CA办理指南”文件查阅。</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7、有关电子投标制作技术疑问，请咨询苏采云软件公司客服：18261002950、0512-69820854、0519-86722802。</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政府采购监督电话</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：0512-53512539。</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本次招标投标保证金</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：本项目无须缴纳投标保证金。</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政府采购信用融资政策</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：中标供应商可凭政府采购合同办理融资贷款，详情请见江苏政府采购网“政采贷”专栏。</w:t>
      </w:r>
      <w:r/>
    </w:p>
    <w:p>
      <w:pPr>
        <w:keepLines w:val="0"/>
        <w:keepNext w:val="0"/>
        <w:pageBreakBefore w:val="0"/>
        <w:spacing w:beforeAutospacing="0" w:after="0" w:afterAutospacing="0" w:line="360" w:lineRule="auto"/>
        <w:rPr>
          <w:rFonts w:ascii="仿宋" w:hAnsi="仿宋" w:eastAsia="仿宋" w:cs="仿宋"/>
          <w:color w:val="000000" w:themeColor="text1"/>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11、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政府采购履约资金扶持政策</w:t>
      </w: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t xml:space="preserve">：依据《关于在全省政府采购领域推行电子履约保函（保险）的通知》（苏财购〔2023〕150号），中标供应商可通过江苏政府采购网“政府采购电子履约保函（保险）综合服务平台”线上办理履约保函（保险）。</w:t>
      </w:r>
      <w:bookmarkEnd w:id="8"/>
      <w:r/>
      <w:r/>
    </w:p>
    <w:p>
      <w:pPr>
        <w:pStyle w:val="723"/>
        <w:keepLines w:val="0"/>
        <w:keepNext w:val="0"/>
        <w:pageBreakBefore w:val="0"/>
        <w:spacing w:before="0" w:beforeAutospacing="0" w:after="0" w:afterAutospacing="0" w:line="360" w:lineRule="auto"/>
        <w:rPr>
          <w:color w:val="000000" w:themeColor="text1"/>
          <w:highlight w:val="none"/>
          <w:lang w:eastAsia="zh-CN"/>
          <w14:textFill>
            <w14:solidFill>
              <w14:schemeClr w14:val="tx1"/>
            </w14:solidFill>
          </w14:textFill>
        </w:rPr>
      </w:pPr>
      <w:r>
        <w:rPr>
          <w:rStyle w:val="766"/>
          <w:rFonts w:hint="eastAsia" w:ascii="黑体" w:hAnsi="宋体" w:eastAsia="黑体" w:cs="黑体"/>
          <w:color w:val="000000" w:themeColor="text1"/>
          <w:sz w:val="28"/>
          <w:szCs w:val="28"/>
          <w:highlight w:val="none"/>
          <w:shd w:val="clear" w:color="auto" w:fill="ffffff"/>
          <w:lang w:eastAsia="zh-CN"/>
          <w14:textFill>
            <w14:solidFill>
              <w14:schemeClr w14:val="tx1"/>
            </w14:solidFill>
          </w14:textFill>
        </w:rPr>
        <w:t xml:space="preserve">七、对本次招标提出询问，请按以下方式联系</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1.采购人信息：</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单位名称：太仓市娄江新城医院（瑞金医院太仓分院）</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地    址：太仓市上海东路666号  </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联系人：陆枫</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联系电话 ：0512-56561907</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2.采购代理机构信息（如有）：</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单位名称：苏州市公共资源交易中心太仓分中心</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单位地址：</w:t>
      </w:r>
      <w:bookmarkStart w:id="9" w:name="OLE_LINK11"/>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太仓市陆渡街道万金北路88号3栋</w:t>
      </w:r>
      <w:bookmarkEnd w:id="9"/>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联系人：周萌</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联系电话：0512-53890581</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3.项目联系方式：</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项目联系人：周萌</w:t>
      </w:r>
      <w:r/>
    </w:p>
    <w:p>
      <w:pPr>
        <w:pStyle w:val="761"/>
        <w:keepLines w:val="0"/>
        <w:keepNext w:val="0"/>
        <w:pageBreakBefore w:val="0"/>
        <w:spacing w:beforeAutospacing="0" w:afterAutospacing="0" w:line="360" w:lineRule="auto"/>
        <w:rPr>
          <w:rFonts w:ascii="仿宋" w:hAnsi="仿宋" w:eastAsia="仿宋" w:cs="仿宋"/>
          <w:color w:val="000000" w:themeColor="text1"/>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电话：0512-53890581</w:t>
      </w:r>
      <w:r/>
    </w:p>
    <w:p>
      <w:pPr>
        <w:pStyle w:val="722"/>
        <w:jc w:val="center"/>
        <w:keepLines/>
        <w:keepNext/>
        <w:pageBreakBefore w:val="0"/>
        <w:spacing w:line="480" w:lineRule="exact"/>
        <w:widowControl/>
        <w:rPr>
          <w:rFonts w:eastAsia="宋体" w:asciiTheme="majorHAnsi" w:hAnsiTheme="majorHAnsi" w:cstheme="majorHAnsi"/>
          <w:b/>
          <w:bCs/>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lang w:eastAsia="zh-CN"/>
          <w14:textFill>
            <w14:solidFill>
              <w14:schemeClr w14:val="tx1"/>
            </w14:solidFill>
          </w14:textFill>
        </w:rPr>
        <w:br w:type="page" w:clear="all"/>
      </w:r>
      <w:r>
        <w:rPr>
          <w:rFonts w:hint="eastAsia" w:eastAsia="宋体" w:asciiTheme="majorHAnsi" w:hAnsiTheme="majorHAnsi" w:cstheme="majorHAnsi"/>
          <w:b/>
          <w:bCs/>
          <w:color w:val="000000" w:themeColor="text1"/>
          <w:highlight w:val="none"/>
          <w:lang w:eastAsia="zh-CN"/>
          <w14:textFill>
            <w14:solidFill>
              <w14:schemeClr w14:val="tx1"/>
            </w14:solidFill>
          </w14:textFill>
        </w:rPr>
        <w:t xml:space="preserve">第二部分  投标人须知</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一、说明和释义</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 说明</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1.1本招标文件仅适用于苏州市公共资源交易中心太仓分中心组织的招标活动。</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1.2本次招标活动及因本次招标产生的合同受中国法律制约和保护。</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1.3本招标文件的解释权属于苏州市公共资源交易中心太仓分中心。</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 词语释义</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2.1采购代理机构：具体组织实施招标活动的法人。本项目采购代理机构是苏州市公共资源交易中心太仓分中心。</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2.2投标人：经认定有资格响应招标，参加投标竞争的法人或其他组织和自然人。</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2.3响应：投标人根据采购人或采购代理机构发布的招标文件，编制投标文件并按规定投标的行为。</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2.4合同：采供双方根据招标文件和中标的投标文件及中标通知书规定的内容签署的以书面形式所达成的协议，包括所有的附件、附录和构成协议的所有文件。</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2.5甲方（采购方）：合同中明确规定的实际购买货物和服务的法人或其他组织和自然人（采购人）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2.6乙方（供应商）：合同中规定的向采购方提供货物和服务的法人或其他组织和自然人（中标人）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2.7货物：系指乙方按招标采购文件规定，应向甲方提供的一切设备、备品、备件、工具、手册及其它有关技术资料和材料。</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2.9知识产权：指专利权、商标权、著作权等无形财产专有权的统称。</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2.10天：日历日。</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2.11交货地点：合同中明确约定的乙方提交的货物和服务最终到达地点。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2.12合同价款：根据合同规定，乙方在正确地履行合同义务后甲方应支付乙方的价款。</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2.13产地：货物开采、生长、生产、最终制造、加工或提供服务的来源地。</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2.14不可抗力：不能预见、不能避免并且不能克服的客观情况。</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2.15实质性响应：满足有关本次采购标的、数量、质量、价款或者报酬、履行期限、履行地点和方式、违约责任和解决争议方法等要求。</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2.17进口产品：指通过中国海关报关验收进入中国境内且产自境外的产品。本项目不接受进口产品投标。</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2.18书面形式：指书面文字、合同书、信件和传真等可以有形地表现所载内容的形式。</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二、 投标人</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 合格投标人的基本条件</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3.1符合《中华人民共和国政府采购法》第二十二条第一款之规定；</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3.2满足本文件实质性条款的规定。</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4．合格投标人的特定条件</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4.1按招标公告规定。</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5. 投标人代表</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5.1指全权代表投标人参加投标活动并签署投标文件的人，如果投标人代表不是法人代表，须持有《法人代表授权委托书》（详见统一格式）。</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6. 联合投标及转包、分包</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6.1本项目不接受联合体投标。</w:t>
      </w:r>
      <w:r/>
    </w:p>
    <w:p>
      <w:pPr>
        <w:ind w:firstLine="360"/>
        <w:spacing w:after="0" w:line="440" w:lineRule="exact"/>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6.2本项目不接受转包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6.3本项目不接受分包。</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7. 投标费用 </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7.1投标人应自行承担所有准备及参加投标的相关费用。不论投标结果如何，采购代理机构在任何情况下均无义务也无责任承担这些费用。</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7.2本次招标项目不收取标书费及中标服务费，请投标人在投标时充分考虑这一因素。</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三、招标文件说明</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8. 招标文件</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8.2招标文件及其更正文件不是直接从采购代理机构或指定媒体获得的，采购代理机构对招标文件及其补遗的真实性、完整性不承担任何责任。</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9. 招标文件的澄清</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9.1投标人在获取招标文件后，若有疑问，应于投标截止时间之前，向采购代理机构提出，采购代理机构将予以解答。</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9.2如有必要，问题答复将以“变更公告”形式由采购代理机构按照本须知第10条的规定发出。</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10.招标文件的修改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10.1采购代理机构无论出于自己的考虑，还是出于对投标人提问的澄清，均可对已发出的招标文件用补充文件的方式进行必要澄清或者修改。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10.3招标文件的更正（含澄清、修改等）内容与原招标文件在同一内容上表述不一致时，以发出日期最接近开标时间的公告为准。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10.5招标文件若有最新的答疑文件，投标供应商必须下载并使用该文件制作新的电子投标文件，否则将无法完成电子投标文件的上传及投标。</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11.质疑</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11.2 提出质疑的供应商应当是参与所质疑项目采购活动的供应商，未参加投标活动的供应商或在投标活动中自身权益未受到损害的供应商所提出的质疑不予受理。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11.3上述应知其权益受到损害之日是指：</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11.3.1对采购文件提出质疑的，为获取采购文件或者采购文件公告期限届满之日起计算；</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11.3.2对采购过程提出质疑的，自采购程序环节结束之日起计算；</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11.3.3对中标结果提出质疑的，自中标结果公告期限届满之日起计算。</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11.4供应商提出质疑应当提交质疑函和必要的证明材料。质疑函应当包括下列内容：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11.4.1供应商的姓名或者名称、地址、邮编、联系人及联系电话；</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11.4.2质疑项目的名称、编号；</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11.4.3具体、明确的质疑事项和与质疑事项相关的请求；</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11.4.4事实依据；</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11.4.5必要的法律依据；</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11.4.6提出质疑的日期。</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11.5质疑函的格式和内容应当符合财政部《政府采购供应商质疑函范本》要求，质疑函范本在财政部官网上提供下载。</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11.6提交质疑函同时应当附如下证明材料：</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11.6.1对采购文件提出质疑的供应商提供参加本项目的《投标供应商确认函</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11.6.2质疑供应商的营业执照复印件加盖单位公章；</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11.6.3质疑供应商法定代表人身份证复印件加盖单位公章；</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11.7供应商为自然人的，应当由本人签字；供应商为法人或者其他组织的，应当由法定代表人、主要负责人，或者其授权代表签字或者盖章，并加盖公章。 </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11.8供应商对招标项目技术、商务及其他要求，以及评审细则、标准提出询问或质疑的，应向采购人提出；供应商对采购过程及中标结果提出询问或质疑的，应向采购机代理构提出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11.9供应商如对本项目提出质疑须在法定质疑期内一次性提出针对同一采购程序环节的质疑。</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color w:val="000000" w:themeColor="text1"/>
          <w:sz w:val="24"/>
          <w:highlight w:val="none"/>
          <w:lang w:eastAsia="zh-CN"/>
          <w14:textFill>
            <w14:solidFill>
              <w14:schemeClr w14:val="tx1"/>
            </w14:solidFill>
          </w14:textFill>
        </w:rPr>
        <w:t xml:space="preserve">（即《投标供应商确认函》）</w:t>
      </w:r>
      <w:r>
        <w:rPr>
          <w:rFonts w:hint="eastAsia" w:ascii="宋体" w:hAnsi="宋体" w:cs="宋体"/>
          <w:color w:val="000000" w:themeColor="text1"/>
          <w:sz w:val="24"/>
          <w:highlight w:val="none"/>
          <w:lang w:eastAsia="zh-CN"/>
          <w14:textFill>
            <w14:solidFill>
              <w14:schemeClr w14:val="tx1"/>
            </w14:solidFill>
          </w14:textFill>
        </w:rPr>
        <w:t xml:space="preserve">与质疑函一起递交，否则不予受理。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11.11接受质疑函联系方式见采购公告联系事项。</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四、 投标文件说明</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12、提示与要求</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12.2无论是否递交投标文件，投标人都应将招标文件及以后的所有通知、文件等视为保密文件。</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13. 投标文件计量单位和使用文字</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13.1投标文件中所使用的计量单位，除招标文件中有特殊要求外，均应使用中华人民共和国法定计量单位。</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14. 知识产权</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15. 投标文件的组成</w:t>
      </w:r>
      <w:r/>
    </w:p>
    <w:p>
      <w:pPr>
        <w:ind w:firstLine="12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15.1报价部分（详见投标文件格式）：</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15.1.1封面</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15.1.2《开标一览表》(统一格式)；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15.1.3公开分项报价表；</w:t>
      </w:r>
      <w:r/>
    </w:p>
    <w:p>
      <w:pPr>
        <w:ind w:firstLine="12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15.2 投标正文部分（包含资质证明和技术部分）</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361"/>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15.2.1资质证明文件部分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15.2.1.1关于资格文件的声明函（详见投标文件格式）；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15.2.1.2投标承诺函（详见投标文件格式）；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15.2.1.3投标人基本情况表（详见投标文件格式）；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15.2.1.4投标人法定代表人身份证复印件；</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15.2.1.5投标人法定代表人授权委托书原件（如有授权）（详见投标文件格式）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15.2.1.6投标人授权代理人身份证复印件（如有授权）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15.2.1.7投标单位营业执照副本或三证合一营业执照复印件；</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15.2.1.8投标人参加本次政府采购活动前的财务状况报告或者银行出具的资信证明；</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15.2.1.9投标人根据项目需求提供履行合同所必需的设备和专业技术能力的证明材</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料；</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15.2.1.10投标人参加本次政府采购活动前半年（至少一个月）依法缴纳税收和社会保障资金的证明材料；</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15.2.1.11投标人参加政府采购活动前三年在经营活动中没有重大违法记录的书面申明（详见投标文件格式）；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15.2.1.12投标人证明其符合招标文件规定的投标人特定资格条件的证书、证明和文件材料；（如有）</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15.2.1.13中小企业声明函（如有）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15.2.1.14残疾人福利性单位声明函</w:t>
      </w:r>
      <w:bookmarkStart w:id="10" w:name="_Hlk186581680"/>
      <w:r>
        <w:rPr>
          <w:rFonts w:hint="eastAsia" w:ascii="宋体" w:hAnsi="宋体" w:cs="宋体"/>
          <w:color w:val="000000" w:themeColor="text1"/>
          <w:sz w:val="24"/>
          <w:highlight w:val="none"/>
          <w:lang w:eastAsia="zh-CN"/>
          <w14:textFill>
            <w14:solidFill>
              <w14:schemeClr w14:val="tx1"/>
            </w14:solidFill>
          </w14:textFill>
        </w:rPr>
        <w:t xml:space="preserve">（如有）</w:t>
      </w:r>
      <w:bookmarkEnd w:id="10"/>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lang w:eastAsia="zh-CN"/>
          <w14:textFill>
            <w14:solidFill>
              <w14:schemeClr w14:val="tx1"/>
            </w14:solidFill>
          </w14:textFill>
        </w:rPr>
        <w:t xml:space="preserve">15.2.1.1</w:t>
      </w:r>
      <w:r>
        <w:rPr>
          <w:rFonts w:hint="eastAsia" w:ascii="宋体" w:hAnsi="宋体" w:cs="宋体"/>
          <w:color w:val="000000" w:themeColor="text1"/>
          <w:sz w:val="24"/>
          <w:highlight w:val="none"/>
          <w:lang w:eastAsia="zh-CN"/>
          <w14:textFill>
            <w14:solidFill>
              <w14:schemeClr w14:val="tx1"/>
            </w14:solidFill>
          </w14:textFill>
        </w:rPr>
        <w:t xml:space="preserve">5</w:t>
      </w:r>
      <w:r>
        <w:rPr>
          <w:rFonts w:ascii="宋体" w:hAnsi="宋体" w:cs="宋体"/>
          <w:color w:val="000000" w:themeColor="text1"/>
          <w:sz w:val="24"/>
          <w:highlight w:val="none"/>
          <w:lang w:eastAsia="zh-CN"/>
          <w14:textFill>
            <w14:solidFill>
              <w14:schemeClr w14:val="tx1"/>
            </w14:solidFill>
          </w14:textFill>
        </w:rPr>
        <w:t xml:space="preserve">监狱企业证明文件（如有）</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361"/>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15.2.2技术部分</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15.2.2.1投标货物数量、品牌规格、材质、性能、交货期说明表（详见文件格式）；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15.2.2.2技术要求偏离表（详见文件格式）；</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15.2.2.3商务要求偏离表（详见文件格式）；</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15.2.2.4项目技术</w:t>
      </w:r>
      <w:r>
        <w:rPr>
          <w:rFonts w:hint="eastAsia" w:ascii="宋体" w:hAnsi="宋体" w:eastAsia="宋体" w:cs="宋体"/>
          <w:color w:val="000000" w:themeColor="text1"/>
          <w:sz w:val="24"/>
          <w:highlight w:val="none"/>
          <w:lang w:eastAsia="zh-CN"/>
          <w14:textFill>
            <w14:solidFill>
              <w14:schemeClr w14:val="tx1"/>
            </w14:solidFill>
          </w14:textFill>
        </w:rPr>
        <w:t xml:space="preserve">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eastAsiaTheme="minorEastAsia"/>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15.2.2.5项目实施方案</w:t>
      </w:r>
      <w:r>
        <w:rPr>
          <w:rFonts w:hint="eastAsia" w:ascii="宋体" w:hAnsi="宋体" w:eastAsia="宋体" w:cs="宋体"/>
          <w:color w:val="000000" w:themeColor="text1"/>
          <w:sz w:val="24"/>
          <w:highlight w:val="none"/>
          <w:lang w:eastAsia="zh-CN"/>
          <w14:textFill>
            <w14:solidFill>
              <w14:schemeClr w14:val="tx1"/>
            </w14:solidFill>
          </w14:textFill>
        </w:rPr>
        <w:t xml:space="preserve">及</w:t>
      </w:r>
      <w:r>
        <w:rPr>
          <w:rFonts w:hint="eastAsia" w:ascii="宋体" w:hAnsi="宋体" w:cs="宋体"/>
          <w:color w:val="000000" w:themeColor="text1"/>
          <w:sz w:val="24"/>
          <w:highlight w:val="none"/>
          <w:lang w:eastAsia="zh-CN"/>
          <w14:textFill>
            <w14:solidFill>
              <w14:schemeClr w14:val="tx1"/>
            </w14:solidFill>
          </w14:textFill>
        </w:rPr>
        <w:t xml:space="preserve">进度</w:t>
      </w:r>
      <w:r>
        <w:rPr>
          <w:rFonts w:hint="eastAsia" w:ascii="宋体" w:hAnsi="宋体" w:cs="宋体" w:eastAsiaTheme="minorEastAsia"/>
          <w:color w:val="000000" w:themeColor="text1"/>
          <w:sz w:val="24"/>
          <w:highlight w:val="none"/>
          <w:lang w:eastAsia="zh-CN"/>
          <w14:textFill>
            <w14:solidFill>
              <w14:schemeClr w14:val="tx1"/>
            </w14:solidFill>
          </w14:textFill>
        </w:rPr>
        <w:t xml:space="preserve">保障措施；</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w:t>
      </w:r>
      <w:r>
        <w:rPr>
          <w:rFonts w:hint="eastAsia" w:ascii="宋体" w:hAnsi="宋体" w:cs="宋体" w:eastAsiaTheme="minorEastAsia"/>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lang w:eastAsia="zh-CN"/>
          <w14:textFill>
            <w14:solidFill>
              <w14:schemeClr w14:val="tx1"/>
            </w14:solidFill>
          </w14:textFill>
        </w:rPr>
        <w:t xml:space="preserve">投入本项目技术（服务）人员一览表及相关证明材料（详见文件格式）；</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w:t>
      </w:r>
      <w:r>
        <w:rPr>
          <w:rFonts w:hint="eastAsia" w:ascii="宋体" w:hAnsi="宋体" w:cs="宋体" w:eastAsiaTheme="minorEastAsia"/>
          <w:color w:val="000000" w:themeColor="text1"/>
          <w:sz w:val="24"/>
          <w:highlight w:val="none"/>
          <w:lang w:eastAsia="zh-CN"/>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类似项目业绩一览表及相关证明材料（详见文件格式）；</w:t>
      </w:r>
      <w:r/>
    </w:p>
    <w:p>
      <w:pPr>
        <w:ind w:firstLine="360"/>
        <w:spacing w:after="0" w:line="440" w:lineRule="exact"/>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15.2.2.</w:t>
      </w:r>
      <w:r>
        <w:rPr>
          <w:rFonts w:hint="eastAsia" w:ascii="宋体" w:hAnsi="宋体" w:cs="宋体" w:eastAsiaTheme="minorEastAsia"/>
          <w:color w:val="000000" w:themeColor="text1"/>
          <w:sz w:val="24"/>
          <w:highlight w:val="none"/>
          <w:lang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其他投标人认为需要提供的材料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15.3投标文件由15.1、15.2款规定的内容共同组成。</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16. 投标文件编制要求</w:t>
      </w:r>
      <w:r/>
    </w:p>
    <w:p>
      <w:pPr>
        <w:ind w:firstLine="424"/>
        <w:spacing w:after="0" w:line="440" w:lineRule="exact"/>
        <w:rPr>
          <w:rFonts w:ascii="宋体" w:hAnsi="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16.1</w:t>
      </w:r>
      <w:r>
        <w:rPr>
          <w:rFonts w:hint="eastAsia" w:ascii="宋体" w:hAnsi="宋体" w:cs="宋体"/>
          <w:b/>
          <w:color w:val="000000" w:themeColor="text1"/>
          <w:sz w:val="24"/>
          <w:highlight w:val="none"/>
          <w:lang w:eastAsia="zh-CN"/>
          <w14:textFill>
            <w14:solidFill>
              <w14:schemeClr w14:val="tx1"/>
            </w14:solidFill>
          </w14:textFill>
        </w:rPr>
        <w:t xml:space="preserve">电子投标文件编制要求：</w:t>
      </w:r>
      <w:r>
        <w:rPr>
          <w:rFonts w:hint="eastAsia" w:ascii="宋体" w:hAnsi="宋体" w:cs="宋体"/>
          <w:color w:val="000000" w:themeColor="text1"/>
          <w:sz w:val="24"/>
          <w:highlight w:val="none"/>
          <w:lang w:eastAsia="zh-CN"/>
          <w14:textFill>
            <w14:solidFill>
              <w14:schemeClr w14:val="tx1"/>
            </w14:solidFill>
          </w14:textFill>
        </w:rPr>
        <w:t xml:space="preserve">投标人应使用</w:t>
      </w:r>
      <w:r>
        <w:rPr>
          <w:rFonts w:hint="eastAsia" w:ascii="宋体" w:hAnsi="宋体" w:cs="宋体"/>
          <w:b/>
          <w:color w:val="000000" w:themeColor="text1"/>
          <w:sz w:val="24"/>
          <w:highlight w:val="none"/>
          <w:lang w:eastAsia="zh-CN"/>
          <w14:textFill>
            <w14:solidFill>
              <w14:schemeClr w14:val="tx1"/>
            </w14:solidFill>
          </w14:textFill>
        </w:rPr>
        <w:t xml:space="preserve">招标文件要求的投标文件制作软件制作电子投标文件</w:t>
      </w:r>
      <w:r>
        <w:rPr>
          <w:rFonts w:hint="eastAsia" w:ascii="宋体" w:hAnsi="宋体" w:cs="宋体"/>
          <w:color w:val="000000" w:themeColor="text1"/>
          <w:sz w:val="24"/>
          <w:highlight w:val="none"/>
          <w:lang w:eastAsia="zh-CN"/>
          <w14:textFill>
            <w14:solidFill>
              <w14:schemeClr w14:val="tx1"/>
            </w14:solidFill>
          </w14:textFill>
        </w:rPr>
        <w:t xml:space="preserve">，电子投标文件按招标文件规定的格式制作，如果未按要求制作上传，可能导致投标无效。</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17. 投标报价（编制）要求的说明</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17.3 一项投标内容只允许一个报价，采购代理机构不接受任何有选择性的投标报价。</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17.4投标文件报价中的单价和总价全部采用人民币表示，除非合同的特殊条款另有规定。</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17.5最低的投标报价或最高的折扣比例是中标的重要条件，但不是中标的唯一条件。</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18. 投标保证金</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本项目无须缴纳投标保证金</w:t>
      </w:r>
      <w:r>
        <w:rPr>
          <w:rFonts w:hint="eastAsia" w:ascii="宋体" w:hAnsi="宋体" w:cs="宋体"/>
          <w:b/>
          <w:color w:val="000000" w:themeColor="text1"/>
          <w:sz w:val="24"/>
          <w:highlight w:val="none"/>
          <w:lang w:eastAsia="zh-CN"/>
          <w14:textFill>
            <w14:solidFill>
              <w14:schemeClr w14:val="tx1"/>
            </w14:solidFill>
          </w14:textFill>
        </w:rPr>
        <w:t xml:space="preserve">。</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19. 投标文件的有效期</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19.1在本招标文件规定的开标之日起九十（90）天内，投标人所提交的投标文件应保持有效。</w:t>
      </w:r>
      <w:r>
        <w:rPr>
          <w:rFonts w:hint="eastAsia" w:ascii="宋体" w:hAnsi="宋体" w:cs="宋体"/>
          <w:b/>
          <w:color w:val="000000" w:themeColor="text1"/>
          <w:sz w:val="24"/>
          <w:highlight w:val="none"/>
          <w:lang w:eastAsia="zh-CN"/>
          <w14:textFill>
            <w14:solidFill>
              <w14:schemeClr w14:val="tx1"/>
            </w14:solidFill>
          </w14:textFill>
        </w:rPr>
        <w:t xml:space="preserve">有效期短于这个规定期限的投标文件，将被认定为未实质性响应招标文件要求。</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五、 投标文件的提交、撤回和修改</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20. 投标文件的上传、提交</w:t>
      </w:r>
      <w:r/>
    </w:p>
    <w:p>
      <w:pPr>
        <w:ind w:firstLine="360"/>
        <w:spacing w:after="0" w:line="440" w:lineRule="exac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20.1投标人应将制作好的加密电子投标文件按要求在投标截止时间前上传到交易系统平台中</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21. 投标截止时间</w:t>
      </w:r>
      <w:r/>
    </w:p>
    <w:p>
      <w:pPr>
        <w:ind w:firstLine="360"/>
        <w:spacing w:after="0" w:line="440" w:lineRule="exact"/>
        <w:rPr>
          <w:rFonts w:hint="eastAsia" w:ascii="宋体" w:hAnsi="宋体" w:cs="宋体"/>
          <w:b w:val="0"/>
          <w:bCs w:val="0"/>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14:textFill>
            <w14:solidFill>
              <w14:schemeClr w14:val="tx1"/>
            </w14:solidFill>
          </w14:textFill>
        </w:rPr>
        <w:t xml:space="preserve">21.1电子投标文件必须按招标公告中规定的网上投标截止时间前提交，否则投标无效。</w:t>
      </w:r>
      <w:r/>
    </w:p>
    <w:p>
      <w:pPr>
        <w:ind w:firstLine="360"/>
        <w:spacing w:after="0" w:line="440" w:lineRule="exact"/>
        <w:rPr>
          <w:rFonts w:hint="eastAsia" w:ascii="宋体" w:hAnsi="宋体" w:cs="宋体"/>
          <w:b w:val="0"/>
          <w:bCs w:val="0"/>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14:textFill>
            <w14:solidFill>
              <w14:schemeClr w14:val="tx1"/>
            </w14:solidFill>
          </w14:textFill>
        </w:rPr>
        <w:t xml:space="preserve">21.2采购代理机构推迟投标截止时间时，应以更正公告的形式，通知所有投标人。在这种情况下，采购代理机构和投标人的权利和义务将受到新的截止期的约束。</w:t>
      </w:r>
      <w:r/>
    </w:p>
    <w:p>
      <w:pPr>
        <w:ind w:firstLine="360"/>
        <w:spacing w:after="0" w:line="440" w:lineRule="exact"/>
        <w:rPr>
          <w:rFonts w:hint="eastAsia" w:ascii="宋体" w:hAnsi="宋体" w:cs="宋体"/>
          <w:b w:val="0"/>
          <w:bCs w:val="0"/>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lang w:eastAsia="zh-CN"/>
          <w14:textFill>
            <w14:solidFill>
              <w14:schemeClr w14:val="tx1"/>
            </w14:solidFill>
          </w14:textFill>
        </w:rPr>
        <w:t xml:space="preserve">21.3在投标截止时间止，采购代理机构于本项目（或标段）收到的电子投标文件少于三份的，采购代理机构有权宣布本项目（或标段）招标失败。</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22. 投标文件的修改和撤回</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22.1投标人在提交投标文件截止时间前，可对其投标文件进行撤回或修改。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23.2开标后投标人不得撤回投标。</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六、开标和评标</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23. 开标</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23.1采购代理机构按采购公告规定的时间、地点主持不见面开标活动。开标仪式由采购代理机构、采购人等主持。</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23.2</w:t>
      </w:r>
      <w:r>
        <w:rPr>
          <w:rFonts w:hint="eastAsia" w:ascii="宋体" w:hAnsi="宋体" w:cs="宋体"/>
          <w:b/>
          <w:color w:val="000000" w:themeColor="text1"/>
          <w:sz w:val="24"/>
          <w:highlight w:val="none"/>
          <w:lang w:eastAsia="zh-CN"/>
          <w14:textFill>
            <w14:solidFill>
              <w14:schemeClr w14:val="tx1"/>
            </w14:solidFill>
          </w14:textFill>
        </w:rPr>
        <w:t xml:space="preserve">参加开标的投标法定代表人或授权代理人须在项目开标前登录苏采云不见面开标系统，进入网上不见面开标大厅，做好相关准备工作。</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23.3</w:t>
      </w:r>
      <w:r>
        <w:rPr>
          <w:rFonts w:hint="eastAsia" w:ascii="宋体" w:hAnsi="宋体" w:cs="宋体"/>
          <w:b/>
          <w:color w:val="000000" w:themeColor="text1"/>
          <w:sz w:val="24"/>
          <w:highlight w:val="none"/>
          <w:lang w:eastAsia="zh-CN"/>
          <w14:textFill>
            <w14:solidFill>
              <w14:schemeClr w14:val="tx1"/>
            </w14:solidFill>
          </w14:textFill>
        </w:rPr>
        <w:t xml:space="preserve">本项目开标后在规定的解密时间内，投标人须自行登录网上开标大厅解密投标文件，解密时间为15分钟，因自身原因导致解密失败的，由投标人自行承担相关责任。</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23.4采购代理机构在开标仪式上，将公布投标人的名称、投标价格，并将作唱标记录。</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23.5投标人代表对开标过程和开标记录有疑义，以及认为采购人、采购代理机构相关工作人员有需要回避的情形的，</w:t>
      </w:r>
      <w:r>
        <w:rPr>
          <w:rFonts w:hint="eastAsia" w:ascii="宋体" w:hAnsi="宋体" w:cs="宋体"/>
          <w:b/>
          <w:color w:val="000000" w:themeColor="text1"/>
          <w:sz w:val="24"/>
          <w:highlight w:val="none"/>
          <w:lang w:eastAsia="zh-CN"/>
          <w14:textFill>
            <w14:solidFill>
              <w14:schemeClr w14:val="tx1"/>
            </w14:solidFill>
          </w14:textFill>
        </w:rPr>
        <w:t xml:space="preserve">应通过不见面开标大厅提出</w:t>
      </w:r>
      <w:r>
        <w:rPr>
          <w:rFonts w:hint="eastAsia" w:ascii="宋体" w:hAnsi="宋体" w:cs="宋体"/>
          <w:color w:val="000000" w:themeColor="text1"/>
          <w:sz w:val="24"/>
          <w:highlight w:val="none"/>
          <w:lang w:eastAsia="zh-CN"/>
          <w14:textFill>
            <w14:solidFill>
              <w14:schemeClr w14:val="tx1"/>
            </w14:solidFill>
          </w14:textFill>
        </w:rPr>
        <w:t xml:space="preserve">询问或者回避申请。采购人、采购代理机构对投标人代表提出的询问或者回避申请应当及时处理。</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24. 评标委员会</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24.1评标委员会由采购人或委托采购代理机构依法组建，负责本项目的评标事务。</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24.2评标委员会独立履行下列职责：</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24.2.1审查投标文件是否符合招标文件的要求，并作出评价；</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24.2.2可以要求投标供应商对投标文件有关事项作出解释或澄清；</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24.2.3推荐中标候选供应商名单，或者受采购人委托按照事先确定的办法直接确定中标供应商；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24.2.4向采购代理机构或者有关部门报告非法干预评标工作的行为；</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24.3评标委员会成员应当履行下列义务：</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24.3.1遵纪守法，客观、公正、廉洁地履行职责；</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24.3.2按照招标文件规定的评标办法和评标标准进行评标，对评审意见承担个人责任；</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24.3.3对评标过程和结果，以及投标人的商业秘密保密；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24.3.4参与评标报告的起草；</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24.3.5配合采购代理机构答复投标供应商提出的质疑；</w:t>
      </w:r>
      <w:r/>
    </w:p>
    <w:p>
      <w:pPr>
        <w:ind w:firstLine="360"/>
        <w:spacing w:after="0" w:line="440" w:lineRule="exact"/>
        <w:rPr>
          <w:rFonts w:ascii="宋体" w:hAnsi="宋体" w:cs="宋体" w:eastAsiaTheme="minorEastAsia"/>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24.3.6配合相关部门的投诉处理工作</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25. 评标内容的保密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25.1公开开标后，直到宣布授予中标供应商合同为止，凡属于审查、澄清、评价和比较投标的所有资料，有关授予合同的信息都不应向投标人或与评标无关的其他人泄露。</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25.2 在投标文件的审查、澄清、评价和比较以及授予合同的过程中，投标人对采购代理机构和评标委员会成员施加影响的任何行为，都将取消其投标资格。</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25.3在评标期间，采购代理机构将通过指定联络人与投标人进行联系。</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26.对投标文件初审</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26.1投标文件初审分为资格性检查和符合性检查。</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26.1.2 关于信用记录查询：</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26.1.2.1查询时间：</w:t>
      </w:r>
      <w:r>
        <w:rPr>
          <w:rFonts w:cs="宋体" w:asciiTheme="minorEastAsia" w:hAnsiTheme="minorEastAsia" w:eastAsiaTheme="minorEastAsia"/>
          <w:color w:val="000000" w:themeColor="text1"/>
          <w:sz w:val="24"/>
          <w:highlight w:val="none"/>
          <w:lang w:eastAsia="zh-CN"/>
          <w14:textFill>
            <w14:solidFill>
              <w14:schemeClr w14:val="tx1"/>
            </w14:solidFill>
          </w14:textFill>
        </w:rPr>
        <w:t xml:space="preserve">评标</w:t>
      </w:r>
      <w:r>
        <w:rPr>
          <w:rFonts w:hint="eastAsia" w:cs="宋体" w:asciiTheme="minorEastAsia" w:hAnsiTheme="minorEastAsia" w:eastAsiaTheme="minorEastAsia"/>
          <w:color w:val="000000" w:themeColor="text1"/>
          <w:sz w:val="24"/>
          <w:highlight w:val="none"/>
          <w:lang w:eastAsia="zh-CN"/>
          <w14:textFill>
            <w14:solidFill>
              <w14:schemeClr w14:val="tx1"/>
            </w14:solidFill>
          </w14:textFill>
        </w:rPr>
        <w:t xml:space="preserve">阶段。</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26.1.2.2查询渠道：通过“信用中国”网站、中国政府采购网等渠道查询相关主体信用记录。</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26.1.2.4信用记录使用规则：评审小组在对供应商进行资格性审查时，应根据查询结果对供应商的不良信用记录逐项甄别确认。</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26.1.3符合性检查。依据招标文件的规定，从投标文件的有效性、完整性和对招标文件的响应程度进行审查，以确定是否对招标文件的实质性要求作出响应。</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26.2.1 不同投标人的投标文件由同一单位或者个人编制；</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26.2.2不同投标人委托同一单位或者个人办理投标事宜；</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26.2.3不同投标人的投标文件载明的项目管理成员或者联系人员为同一人；</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26.2.4不同投标人的投标文件异常一致或者投标报价呈规律性差异；</w:t>
      </w:r>
      <w:r/>
    </w:p>
    <w:p>
      <w:pPr>
        <w:ind w:firstLine="360"/>
        <w:spacing w:after="0" w:line="440" w:lineRule="exact"/>
        <w:rPr>
          <w:rFonts w:ascii="宋体" w:hAnsi="宋体" w:cs="宋体" w:eastAsiaTheme="minorEastAsia"/>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26.2.5不同投标人的投标文件相互混装</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26.6评标委员会将对确定为实质性响应的投标进行审核，看其是否有计算上或累加上的算术错误，修正错误的原则如下：</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26.6.1投标文件中开标一览表（报价表）内容与投标文件中相应内容不一致的，以开标一览表（报价表）为准；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26.6.2大写金额和小写金额不一致的，以大写金额为准；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26.6.3单价金额小数点或者百分比有明显错位的，以开标一览表的总价为准，并修改单价；</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26.6.4总价金额与按单价汇总金额不一致的，以单价金额计算结果为准。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同时出现两种以上不一致的，按照前款规定的顺序修正。修正后的报价按照本须知26.6条规定经投标人确认后产生约束力，投标人不确认的，其投标无效。</w:t>
      </w:r>
      <w:r/>
    </w:p>
    <w:p>
      <w:pPr>
        <w:ind w:firstLine="360"/>
        <w:spacing w:after="0" w:line="440" w:lineRule="exact"/>
        <w:rPr>
          <w:b/>
          <w:bCs/>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lang w:eastAsia="zh-CN"/>
          <w14:textFill>
            <w14:solidFill>
              <w14:schemeClr w14:val="tx1"/>
            </w14:solidFill>
          </w14:textFill>
        </w:rPr>
        <w:t xml:space="preserve">26.7评标委员会认为投标人的报价明显低于其他通过符合性审查投标人的报价，有可</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能影响产品质量或者不能诚信履约的，应当要求其在不见面开标大厅内合理的时间内提供</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说明，必要时提交相关证明材料：投标人不能证明其报价合理性的，评标委员会应当将其</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作为无效投标处理。</w:t>
      </w:r>
      <w:bookmarkStart w:id="11" w:name="OLE_LINK63"/>
      <w:r>
        <w:rPr>
          <w:rFonts w:ascii="宋体" w:hAnsi="宋体" w:cs="宋体"/>
          <w:b/>
          <w:bCs/>
          <w:color w:val="000000" w:themeColor="text1"/>
          <w:sz w:val="24"/>
          <w:highlight w:val="none"/>
          <w:lang w:eastAsia="zh-CN"/>
          <w14:textFill>
            <w14:solidFill>
              <w14:schemeClr w14:val="tx1"/>
            </w14:solidFill>
          </w14:textFill>
        </w:rPr>
        <w:t xml:space="preserve">异常低价投标（响应）审查的情形和具体要求如下：</w:t>
      </w:r>
      <w:r>
        <w:rPr>
          <w:rFonts w:ascii="宋体" w:hAnsi="宋体" w:cs="宋体"/>
          <w:b/>
          <w:bCs/>
          <w:color w:val="000000" w:themeColor="text1"/>
          <w:sz w:val="24"/>
          <w:highlight w:val="none"/>
          <w:lang w:eastAsia="zh-CN"/>
          <w14:textFill>
            <w14:solidFill>
              <w14:schemeClr w14:val="tx1"/>
            </w14:solidFill>
          </w14:textFill>
        </w:rPr>
        <w:br/>
      </w:r>
      <w:r>
        <w:rPr>
          <w:rFonts w:hint="eastAsia" w:ascii="宋体" w:hAnsi="宋体" w:cs="宋体"/>
          <w:b/>
          <w:bCs/>
          <w:color w:val="000000" w:themeColor="text1"/>
          <w:sz w:val="24"/>
          <w:highlight w:val="none"/>
          <w:lang w:eastAsia="zh-CN"/>
          <w14:textFill>
            <w14:solidFill>
              <w14:schemeClr w14:val="tx1"/>
            </w14:solidFill>
          </w14:textFill>
        </w:rPr>
        <w:t xml:space="preserve">  </w:t>
      </w:r>
      <w:r>
        <w:rPr>
          <w:rFonts w:ascii="宋体" w:hAnsi="宋体" w:cs="宋体"/>
          <w:b/>
          <w:bCs/>
          <w:color w:val="000000" w:themeColor="text1"/>
          <w:sz w:val="24"/>
          <w:highlight w:val="none"/>
          <w:lang w:eastAsia="zh-CN"/>
          <w14:textFill>
            <w14:solidFill>
              <w14:schemeClr w14:val="tx1"/>
            </w14:solidFill>
          </w14:textFill>
        </w:rPr>
        <w:t xml:space="preserve">26.7.1投标（响应）报价低于采购项目预算50%的，即投标（响应）报价&lt;采购项目预</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算</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ascii="宋体" w:hAnsi="宋体" w:cs="宋体"/>
          <w:b/>
          <w:bCs/>
          <w:color w:val="000000" w:themeColor="text1"/>
          <w:sz w:val="24"/>
          <w:highlight w:val="none"/>
          <w:lang w:eastAsia="zh-CN"/>
          <w14:textFill>
            <w14:solidFill>
              <w14:schemeClr w14:val="tx1"/>
            </w14:solidFill>
          </w14:textFill>
        </w:rPr>
        <w:t xml:space="preserve">50%；</w:t>
      </w:r>
      <w:r>
        <w:rPr>
          <w:rFonts w:ascii="宋体" w:hAnsi="宋体" w:cs="宋体"/>
          <w:b/>
          <w:bCs/>
          <w:color w:val="000000" w:themeColor="text1"/>
          <w:sz w:val="24"/>
          <w:highlight w:val="none"/>
          <w:lang w:eastAsia="zh-CN"/>
          <w14:textFill>
            <w14:solidFill>
              <w14:schemeClr w14:val="tx1"/>
            </w14:solidFill>
          </w14:textFill>
        </w:rPr>
        <w:br/>
      </w:r>
      <w:r>
        <w:rPr>
          <w:rFonts w:hint="eastAsia" w:ascii="宋体" w:hAnsi="宋体" w:cs="宋体"/>
          <w:b/>
          <w:bCs/>
          <w:color w:val="000000" w:themeColor="text1"/>
          <w:sz w:val="24"/>
          <w:highlight w:val="none"/>
          <w:lang w:eastAsia="zh-CN"/>
          <w14:textFill>
            <w14:solidFill>
              <w14:schemeClr w14:val="tx1"/>
            </w14:solidFill>
          </w14:textFill>
        </w:rPr>
        <w:t xml:space="preserve">  </w:t>
      </w:r>
      <w:r>
        <w:rPr>
          <w:rFonts w:ascii="宋体" w:hAnsi="宋体" w:cs="宋体"/>
          <w:b/>
          <w:bCs/>
          <w:color w:val="000000" w:themeColor="text1"/>
          <w:sz w:val="24"/>
          <w:highlight w:val="none"/>
          <w:lang w:eastAsia="zh-CN"/>
          <w14:textFill>
            <w14:solidFill>
              <w14:schemeClr w14:val="tx1"/>
            </w14:solidFill>
          </w14:textFill>
        </w:rPr>
        <w:t xml:space="preserve">26.7.2投标（响应）报价低于采购项目最高限价45%的，即投标（响应）报价&lt;采购</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项目最高限价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ascii="宋体" w:hAnsi="宋体" w:cs="宋体"/>
          <w:b/>
          <w:bCs/>
          <w:color w:val="000000" w:themeColor="text1"/>
          <w:sz w:val="24"/>
          <w:highlight w:val="none"/>
          <w:lang w:eastAsia="zh-CN"/>
          <w14:textFill>
            <w14:solidFill>
              <w14:schemeClr w14:val="tx1"/>
            </w14:solidFill>
          </w14:textFill>
        </w:rPr>
        <w:t xml:space="preserve">45%；</w:t>
      </w:r>
      <w:r>
        <w:rPr>
          <w:rFonts w:ascii="宋体" w:hAnsi="宋体" w:cs="宋体"/>
          <w:b/>
          <w:bCs/>
          <w:color w:val="000000" w:themeColor="text1"/>
          <w:sz w:val="24"/>
          <w:highlight w:val="none"/>
          <w:lang w:eastAsia="zh-CN"/>
          <w14:textFill>
            <w14:solidFill>
              <w14:schemeClr w14:val="tx1"/>
            </w14:solidFill>
          </w14:textFill>
        </w:rPr>
        <w:br/>
      </w:r>
      <w:r>
        <w:rPr>
          <w:rFonts w:hint="eastAsia" w:ascii="宋体" w:hAnsi="宋体" w:cs="宋体"/>
          <w:b/>
          <w:bCs/>
          <w:color w:val="000000" w:themeColor="text1"/>
          <w:sz w:val="24"/>
          <w:highlight w:val="none"/>
          <w:lang w:eastAsia="zh-CN"/>
          <w14:textFill>
            <w14:solidFill>
              <w14:schemeClr w14:val="tx1"/>
            </w14:solidFill>
          </w14:textFill>
        </w:rPr>
        <w:t xml:space="preserve">  </w:t>
      </w:r>
      <w:r>
        <w:rPr>
          <w:rFonts w:ascii="宋体" w:hAnsi="宋体" w:cs="宋体"/>
          <w:b/>
          <w:bCs/>
          <w:color w:val="000000" w:themeColor="text1"/>
          <w:sz w:val="24"/>
          <w:highlight w:val="none"/>
          <w:lang w:eastAsia="zh-CN"/>
          <w14:textFill>
            <w14:solidFill>
              <w14:schemeClr w14:val="tx1"/>
            </w14:solidFill>
          </w14:textFill>
        </w:rPr>
        <w:t xml:space="preserve">26.7.3评审委员会认定的供应商报价过低、有可能影响产品质量或者不能诚信履约的</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其他情形。</w:t>
      </w:r>
      <w:r>
        <w:rPr>
          <w:rFonts w:ascii="宋体" w:hAnsi="宋体" w:cs="宋体"/>
          <w:b/>
          <w:bCs/>
          <w:color w:val="000000" w:themeColor="text1"/>
          <w:sz w:val="24"/>
          <w:highlight w:val="none"/>
          <w:lang w:eastAsia="zh-CN"/>
          <w14:textFill>
            <w14:solidFill>
              <w14:schemeClr w14:val="tx1"/>
            </w14:solidFill>
          </w14:textFill>
        </w:rPr>
        <w:br/>
      </w:r>
      <w:bookmarkEnd w:id="11"/>
      <w:r>
        <w:rPr>
          <w:rFonts w:hint="eastAsia" w:ascii="宋体" w:hAnsi="宋体" w:cs="宋体"/>
          <w:b/>
          <w:bCs/>
          <w:color w:val="000000" w:themeColor="text1"/>
          <w:sz w:val="24"/>
          <w:highlight w:val="none"/>
          <w:lang w:eastAsia="zh-CN"/>
          <w14:textFill>
            <w14:solidFill>
              <w14:schemeClr w14:val="tx1"/>
            </w14:solidFill>
          </w14:textFill>
        </w:rPr>
        <w:t xml:space="preserve">  </w:t>
      </w:r>
      <w:r>
        <w:rPr>
          <w:rFonts w:ascii="宋体" w:hAnsi="宋体" w:cs="宋体"/>
          <w:b/>
          <w:bCs/>
          <w:color w:val="000000" w:themeColor="text1"/>
          <w:sz w:val="24"/>
          <w:highlight w:val="none"/>
          <w:lang w:eastAsia="zh-CN"/>
          <w14:textFill>
            <w14:solidFill>
              <w14:schemeClr w14:val="tx1"/>
            </w14:solidFill>
          </w14:textFill>
        </w:rPr>
        <w:t xml:space="preserve">26.8启动异常低价投标（响应）审查后，评审委员会应当要求相关供应商在评标现场</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合理的时间内，提供项目具体成本测算等与报价合理性相关的书面说明及相关证明材料，</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对投标（响应）价格作出解释，由评审委员会结合同类产品在主要电商平台的价格、该行</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业当地薪资水平等情况，依据专业经验对供应商报价合理性进行判断。投标（响应）供应</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商不提供书面说明、证明材料，或者提供的书面说明、证明材料不能证明其报价合理性</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的，评审委员会应当将其作为无效投标（响应）处理。审查相关情况应当在评审报告中进</w:t>
      </w:r>
      <w:r>
        <w:rPr>
          <w:rFonts w:ascii="宋体" w:hAnsi="宋体" w:cs="宋体"/>
          <w:b/>
          <w:bCs/>
          <w:color w:val="000000" w:themeColor="text1"/>
          <w:sz w:val="24"/>
          <w:highlight w:val="none"/>
          <w:lang w:eastAsia="zh-CN"/>
          <w14:textFill>
            <w14:solidFill>
              <w14:schemeClr w14:val="tx1"/>
            </w14:solidFill>
          </w14:textFill>
        </w:rPr>
        <w:br/>
      </w:r>
      <w:r>
        <w:rPr>
          <w:rFonts w:ascii="宋体" w:hAnsi="宋体" w:cs="宋体"/>
          <w:b/>
          <w:bCs/>
          <w:color w:val="000000" w:themeColor="text1"/>
          <w:sz w:val="24"/>
          <w:highlight w:val="none"/>
          <w:lang w:eastAsia="zh-CN"/>
          <w14:textFill>
            <w14:solidFill>
              <w14:schemeClr w14:val="tx1"/>
            </w14:solidFill>
          </w14:textFill>
        </w:rPr>
        <w:t xml:space="preserve">行记录。</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26.9评标委员会对投标文件的判定，只依据投标内容本身，不依靠开标后的任何外来证明。</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26.10评标委员会将拒绝被确定为非实质性响应的投标，投标人不能通过修正或撤销不符之处而使其投标成为实质性响应的投标。</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27.投标的澄清</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28.无效投标和废标</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28.1无效投标的具体情形有：  </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28.1.1投标文件未按招标文件要求签署、盖章或电子签章的；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28.1.2不具备招标文件中规定的资格要求的；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28.1.3报价超过招标文件中规定的预算金额或者最高限价的；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28.1.4</w:t>
      </w:r>
      <w:r>
        <w:rPr>
          <w:rFonts w:hint="eastAsia" w:ascii="宋体" w:hAnsi="宋体" w:cs="宋体"/>
          <w:b/>
          <w:color w:val="000000" w:themeColor="text1"/>
          <w:sz w:val="24"/>
          <w:highlight w:val="none"/>
          <w:lang w:eastAsia="zh-CN"/>
          <w14:textFill>
            <w14:solidFill>
              <w14:schemeClr w14:val="tx1"/>
            </w14:solidFill>
          </w14:textFill>
        </w:rPr>
        <w:t xml:space="preserve">不同投标人的投标文件使用同一台电脑编制的；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28.1.5投标文件含有采购人不能接受的附加条件的；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28.1.6法律、法规和招标文件规定的其他无效情形。</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28.2 在招标采购中，出现下列情形之一的，应予废标：</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28.2.1符合专业条件的供应商或者对招标文件作实质响应的供应商不足三家的；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28.2.2出现影响采购公正的违法、违规行为的；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28.2.3投标人的报价均超过了采购预算，采购人不能支付的；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28.2.4因重大变故，采购任务取消的。</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28.3 废标后，采购人应当将废标理由通知所有投标人。</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29. 投标文件的评价和比较</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29.1评标委员会按招标文件规定的评标方法和标准，仅对资格性检查和符合性检查合格的投标文件进行商务和技术评估，综合比较与评价。</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29.2.1服务的质量保证（保障）内容；</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29.2.2服务配备的人员；</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29.2.3投标者的资信情况和履约能力；</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29.2.4投标者提供的其他优惠条件；</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29.2.5参与本项目政府采购工作的态度及信誉；</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29.2.6最低的投标报价或最高的折扣比例是中标的重要条件，但不是唯一条件。</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七、授予合同</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30. 中标供应商的确认</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30.1评标委员会按招标文件规定的评标方法和标准进行详细评审后，按采购人的委托向采购人推荐中标候选单位或根据采购人授权直接确定中标供应商。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30.2经评标委员会评审并确定中标供应商后，采购人或授权采购代理机构将在规定的时间内将中标结果在相关媒体上予以公告。</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30.4质疑函递交地点及联系方式详见公告内容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31. 合同授予标准</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31.1采购人将把合同授予其投标文件在实质上响应招标文件要求和按本须知规定评选出的投标人。确定为中标的投标人必须具有实施本合同的能力和资源。</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32. 中标通知书</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32.3</w:t>
      </w:r>
      <w:r>
        <w:rPr>
          <w:rFonts w:hint="eastAsia" w:ascii="宋体" w:hAnsi="宋体" w:cs="宋体"/>
          <w:color w:val="000000" w:themeColor="text1"/>
          <w:sz w:val="24"/>
          <w:highlight w:val="none"/>
          <w:lang w:eastAsia="zh-CN"/>
          <w14:textFill>
            <w14:solidFill>
              <w14:schemeClr w14:val="tx1"/>
            </w14:solidFill>
          </w14:textFill>
        </w:rPr>
        <w:t xml:space="preserve">因系统存储空间有限，自中标结果公告届满之日起30日后，“苏采云”系统不再保证提供下载中标通知书服务,因未及时下载而造成的不利后果由中标供应商自行承担。</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32.4中标通知书将成为合同的组成部分。</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32.5采购代理机构对未中标供应商不承担解释未中标原因的义务。</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33.履约保证金</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33.1中标供应商按合同约定要求提交履约保证金。</w:t>
      </w:r>
      <w:r/>
    </w:p>
    <w:p>
      <w:pPr>
        <w:ind w:firstLine="360"/>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33.2履约保证金用以约束供应商在合同履行中的行为，弥补合同执行中由于自身行为可能给采购人带来的各种损失。</w:t>
      </w:r>
      <w:r/>
    </w:p>
    <w:p>
      <w:pPr>
        <w:ind w:firstLine="360"/>
        <w:spacing w:after="0" w:line="440" w:lineRule="exac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33.3履约保证金（无息）将在中标供应商项目验收合格无质量问题，采购人在</w:t>
      </w:r>
      <w:r>
        <w:rPr>
          <w:rFonts w:hint="eastAsia" w:ascii="宋体" w:hAnsi="宋体" w:cs="宋体"/>
          <w:color w:val="000000" w:themeColor="text1"/>
          <w:sz w:val="24"/>
          <w:highlight w:val="none"/>
          <w:lang w:val="en-US" w:eastAsia="zh-CN"/>
          <w14:textFill>
            <w14:solidFill>
              <w14:schemeClr w14:val="tx1"/>
            </w14:solidFill>
          </w14:textFill>
        </w:rPr>
        <w:t xml:space="preserve">十</w:t>
      </w:r>
      <w:r>
        <w:rPr>
          <w:rFonts w:hint="eastAsia" w:ascii="宋体" w:hAnsi="宋体" w:cs="宋体"/>
          <w:color w:val="000000" w:themeColor="text1"/>
          <w:sz w:val="24"/>
          <w:highlight w:val="none"/>
          <w:lang w:eastAsia="zh-CN"/>
          <w14:textFill>
            <w14:solidFill>
              <w14:schemeClr w14:val="tx1"/>
            </w14:solidFill>
          </w14:textFill>
        </w:rPr>
        <w:t xml:space="preserve">五个工作日内退还中标供应商。</w:t>
      </w:r>
      <w:r/>
    </w:p>
    <w:p>
      <w:pPr>
        <w:ind w:firstLine="360"/>
        <w:spacing w:after="0" w:line="440" w:lineRule="exac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34. 合同的签订</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34.2中标供应商应按中标通知书中规定，由法定代表人或授权代理人与采购人代表签订合同，否则按放弃中标权处理。</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34.3签订合同及合同条款应以招标文件和中标供应商的投标文件及其澄清文件为依据。</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八、政府采购相关政策</w:t>
      </w:r>
      <w:r/>
    </w:p>
    <w:p>
      <w:pPr>
        <w:spacing w:after="0" w:line="440" w:lineRule="exac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35.节能产品和环境标志产品</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3"/>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000000" w:themeColor="text1"/>
          <w:sz w:val="24"/>
          <w:highlight w:val="none"/>
          <w:lang w:eastAsia="zh-CN"/>
          <w14:textFill>
            <w14:solidFill>
              <w14:schemeClr w14:val="tx1"/>
            </w14:solidFill>
          </w14:textFill>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36.中小企业相关政策：</w:t>
      </w:r>
      <w:r/>
    </w:p>
    <w:p>
      <w:pPr>
        <w:ind w:firstLine="363"/>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针对小微型企业的加分：</w:t>
      </w:r>
      <w:r/>
    </w:p>
    <w:p>
      <w:pPr>
        <w:ind w:firstLine="363"/>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lang w:eastAsia="zh-CN"/>
          <w14:textFill>
            <w14:solidFill>
              <w14:schemeClr w14:val="tx1"/>
            </w14:solidFill>
          </w14:textFill>
        </w:rPr>
        <w:t xml:space="preserve">根据《政府</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购促进中小企业发展管理办法》（财库﹝2020﹞46号）及《关于贯彻执行绿色采购、促进残疾人就业和支持监狱企业发展有关政策的通知》（苏财购〔2019〕10号）规定：</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3、在货物采购项目中，供应商提供的货物既有小型或微型企业制造货物，也有中型或大型企业制造货物的，不享受本办法规定的小微企业价格扶持政策。</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4、以联合体形式参加政府采购活动，联合体各方均为中小企业的，联合体视同中小企业。其中，联合体各方均为小微企业的，联合体视同小微企业。</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5、符合中小企业划分标准的个体工商户，在政府采购活动中视同中小企业。</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6、中小企业划分标准详见“工信部联企业〔2011〕300号通知”。</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7、残疾人福利性单位及监狱企业视同小微型企业，享受评审中价格扣除等促进中小企业发展的政府采购政策。</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8、中标、成交供应商享受规定的中小企业扶持政策的，《中小企业声明函》应当随中标、成交结果同时公告，接受社会监督。</w:t>
      </w:r>
      <w:r/>
    </w:p>
    <w:p>
      <w:pPr>
        <w:ind w:firstLine="360"/>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9、供应商按照规定提供声明函内容不实的，属于提供虚假材料谋取中标、成交， 依照《中华人民共和国政府采购法》等国家有关规定追究相应责任。</w:t>
      </w:r>
      <w:r/>
    </w:p>
    <w:p>
      <w:pPr>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37.绿色数据中心政策</w:t>
      </w:r>
      <w:r/>
    </w:p>
    <w:p>
      <w:pPr>
        <w:ind w:firstLine="480"/>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37.1 依据《绿色数据中心政府采购需求标准（试行）》（财办库〔2023〕7 号）文件精神，采购</w:t>
      </w:r>
      <w:r>
        <w:rPr>
          <w:rFonts w:hint="eastAsia" w:ascii="宋体" w:hAnsi="宋体" w:cs="宋体"/>
          <w:color w:val="000000" w:themeColor="text1"/>
          <w:sz w:val="24"/>
          <w:highlight w:val="none"/>
          <w:lang w:eastAsia="zh-CN"/>
          <w14:textFill>
            <w14:solidFill>
              <w14:schemeClr w14:val="tx1"/>
            </w14:solidFill>
          </w14:textFill>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38.商品包装、快递包装政策</w:t>
      </w:r>
      <w:r/>
    </w:p>
    <w:p>
      <w:pPr>
        <w:ind w:firstLine="480"/>
        <w:spacing w:after="0" w:line="440" w:lineRule="exact"/>
        <w:rPr>
          <w:rFonts w:ascii="宋体" w:hAnsi="宋体" w:cs="宋体"/>
          <w:b/>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九、其他事项</w:t>
      </w:r>
      <w:r/>
    </w:p>
    <w:p>
      <w:pPr>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39. 监督和公证</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39.1政府有关监督部门将对招投标全过程进行监督。</w:t>
      </w:r>
      <w:r/>
    </w:p>
    <w:p>
      <w:pPr>
        <w:ind w:firstLine="360"/>
        <w:spacing w:after="0" w:line="440" w:lineRule="exact"/>
        <w:rPr>
          <w:rFonts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39.2</w:t>
      </w:r>
      <w:r>
        <w:rPr>
          <w:rFonts w:ascii="宋体" w:hAnsi="宋体" w:cs="宋体"/>
          <w:color w:val="000000" w:themeColor="text1"/>
          <w:sz w:val="24"/>
          <w:highlight w:val="none"/>
          <w:lang w:eastAsia="zh-CN"/>
          <w14:textFill>
            <w14:solidFill>
              <w14:schemeClr w14:val="tx1"/>
            </w14:solidFill>
          </w14:textFill>
        </w:rPr>
        <w:t xml:space="preserve">采购代理机构的招标过程将依采购人申请，通过公证机关进行公证</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after="0" w:line="440" w:lineRule="exact"/>
        <w:rPr>
          <w:rFonts w:ascii="宋体" w:hAnsi="宋体" w:cs="宋体"/>
          <w:b/>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40.未尽事宜</w:t>
      </w:r>
      <w:r/>
    </w:p>
    <w:p>
      <w:pPr>
        <w:ind w:firstLine="480"/>
        <w:spacing w:after="0" w:line="44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按《中华人民共和国政府采购法》及其他有关法律法规的规定执行。</w:t>
      </w:r>
      <w:r/>
    </w:p>
    <w:p>
      <w:pPr>
        <w:spacing w:after="0" w:line="240" w:lineRule="auto"/>
        <w:rPr>
          <w:rFonts w:eastAsia="宋体" w:asciiTheme="majorHAnsi" w:hAnsiTheme="majorHAnsi" w:cstheme="majorHAnsi"/>
          <w:color w:val="000000" w:themeColor="text1"/>
          <w:sz w:val="40"/>
          <w:szCs w:val="40"/>
          <w:highlight w:val="none"/>
          <w:lang w:eastAsia="zh-CN"/>
          <w14:textFill>
            <w14:solidFill>
              <w14:schemeClr w14:val="tx1"/>
            </w14:solidFill>
          </w14:textFill>
        </w:rPr>
      </w:pPr>
      <w:r/>
      <w:bookmarkStart w:id="12" w:name="OLE_LINK4"/>
      <w:r>
        <w:rPr>
          <w:rFonts w:eastAsia="宋体" w:asciiTheme="majorHAnsi" w:hAnsiTheme="majorHAnsi" w:cstheme="majorHAnsi"/>
          <w:color w:val="000000" w:themeColor="text1"/>
          <w:highlight w:val="none"/>
          <w:lang w:eastAsia="zh-CN"/>
          <w14:textFill>
            <w14:solidFill>
              <w14:schemeClr w14:val="tx1"/>
            </w14:solidFill>
          </w14:textFill>
        </w:rPr>
        <w:br w:type="page" w:clear="all"/>
      </w:r>
      <w:r/>
    </w:p>
    <w:p>
      <w:pPr>
        <w:pStyle w:val="722"/>
        <w:jc w:val="center"/>
        <w:rPr>
          <w:rFonts w:eastAsia="宋体" w:asciiTheme="majorHAnsi" w:hAnsiTheme="majorHAnsi" w:cstheme="majorHAnsi"/>
          <w:b/>
          <w:bCs/>
          <w:color w:val="000000" w:themeColor="text1"/>
          <w:highlight w:val="none"/>
          <w:lang w:eastAsia="zh-CN"/>
          <w14:textFill>
            <w14:solidFill>
              <w14:schemeClr w14:val="tx1"/>
            </w14:solidFill>
          </w14:textFill>
        </w:rPr>
      </w:pPr>
      <w:r>
        <w:rPr>
          <w:rFonts w:hint="eastAsia" w:eastAsia="宋体" w:asciiTheme="majorHAnsi" w:hAnsiTheme="majorHAnsi" w:cstheme="majorHAnsi"/>
          <w:b/>
          <w:bCs/>
          <w:color w:val="000000" w:themeColor="text1"/>
          <w:highlight w:val="none"/>
          <w:lang w:eastAsia="zh-CN"/>
          <w14:textFill>
            <w14:solidFill>
              <w14:schemeClr w14:val="tx1"/>
            </w14:solidFill>
          </w14:textFill>
        </w:rPr>
        <w:t xml:space="preserve">第三部分  项目需求</w:t>
      </w:r>
      <w:bookmarkEnd w:id="12"/>
      <w:r/>
      <w:bookmarkStart w:id="13" w:name="_Toc19021"/>
      <w:r/>
      <w:bookmarkEnd w:id="13"/>
      <w:r/>
      <w:r/>
    </w:p>
    <w:p>
      <w:pPr>
        <w:pStyle w:val="723"/>
        <w:keepLines w:val="0"/>
        <w:keepNext w:val="0"/>
        <w:pageBreakBefore w:val="0"/>
        <w:spacing w:before="0" w:after="0" w:line="480" w:lineRule="exact"/>
        <w:widowControl/>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一</w:t>
      </w:r>
      <w:bookmarkStart w:id="14" w:name="OLE_LINK5"/>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bookmarkEnd w:id="14"/>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项目背景</w:t>
      </w:r>
      <w:r/>
    </w:p>
    <w:p>
      <w:pPr>
        <w:pStyle w:val="942"/>
        <w:ind w:firstLine="508"/>
        <w:keepLines w:val="0"/>
        <w:keepNext w:val="0"/>
        <w:pageBreakBefore w:val="0"/>
        <w:spacing w:after="0" w:line="480" w:lineRule="exact"/>
        <w:widowControl/>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pacing w:val="7"/>
          <w:sz w:val="24"/>
          <w:szCs w:val="24"/>
          <w:highlight w:val="none"/>
          <w:shd w:val="clear" w:color="auto" w:fill="ffffff"/>
          <w:lang w:eastAsia="zh-CN"/>
          <w14:textFill>
            <w14:solidFill>
              <w14:schemeClr w14:val="tx1"/>
            </w14:solidFill>
          </w14:textFill>
        </w:rPr>
        <w:t xml:space="preserve">近年来，人工智能技术在医疗行业应用中取得较大进展。通过机器学习、自然语言处理等技术，人工智能可以对大量数据进行分析和预测，为推进人工智能在医疗卫生领域的应用，全力打造人工智能+医疗卫生创新高地，</w:t>
      </w:r>
      <w:r>
        <w:rPr>
          <w:rStyle w:val="766"/>
          <w:rFonts w:hint="eastAsia" w:ascii="宋体" w:hAnsi="宋体" w:eastAsia="宋体" w:cs="宋体"/>
          <w:b w:val="0"/>
          <w:color w:val="000000" w:themeColor="text1"/>
          <w:spacing w:val="12"/>
          <w:sz w:val="24"/>
          <w:szCs w:val="24"/>
          <w:highlight w:val="none"/>
          <w:shd w:val="clear" w:color="auto" w:fill="ffffff"/>
          <w:lang w:eastAsia="zh-CN"/>
          <w14:textFill>
            <w14:solidFill>
              <w14:schemeClr w14:val="tx1"/>
            </w14:solidFill>
          </w14:textFill>
        </w:rPr>
        <w:t xml:space="preserve">建设人工智能算力、算法、数据支撑平台，形成“算力-算法-数据”三位一体创新体系，夯实人工智能+医疗卫生应用基础支撑。本项目将为太仓市娄江新城医院数智化建设项目（一期）应用平台软件系统，建设以4台</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AI算力服务器为核心的基础算力集群，推进本院人工智能赋能医疗行业建设，提升医院就医、诊疗、管理、工程等方面的工作效率，提升患者就医体验</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p>
    <w:p>
      <w:pPr>
        <w:pStyle w:val="723"/>
        <w:keepLines w:val="0"/>
        <w:keepNext w:val="0"/>
        <w:pageBreakBefore w:val="0"/>
        <w:spacing w:before="0" w:after="0" w:line="480" w:lineRule="exact"/>
        <w:widowControl/>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二、项目需求</w:t>
      </w:r>
      <w:r/>
    </w:p>
    <w:p>
      <w:pPr>
        <w:ind w:firstLine="241"/>
        <w:keepLines w:val="0"/>
        <w:keepNext w:val="0"/>
        <w:pageBreakBefore w:val="0"/>
        <w:spacing w:after="0" w:line="480" w:lineRule="exact"/>
        <w:widowControl/>
        <w:tabs>
          <w:tab w:val="left" w:pos="993"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（一）设备清单</w:t>
      </w:r>
      <w:r/>
    </w:p>
    <w:tbl>
      <w:tblPr>
        <w:tblStyle w:val="732"/>
        <w:tblW w:w="4895" w:type="pct"/>
        <w:jc w:val="center"/>
        <w:tblLayout w:type="autofit"/>
        <w:tblCellMar>
          <w:left w:w="108" w:type="dxa"/>
          <w:top w:w="0" w:type="dxa"/>
          <w:right w:w="108" w:type="dxa"/>
          <w:bottom w:w="0" w:type="dxa"/>
        </w:tblCellMar>
        <w:tblLook w:val="04A0" w:firstRow="1" w:lastRow="0" w:firstColumn="1" w:lastColumn="0" w:noHBand="0" w:noVBand="1"/>
      </w:tblPr>
      <w:tblGrid>
        <w:gridCol w:w="976"/>
        <w:gridCol w:w="2463"/>
        <w:gridCol w:w="3577"/>
        <w:gridCol w:w="1068"/>
        <w:gridCol w:w="1363"/>
      </w:tblGrid>
      <w:tr>
        <w:trPr>
          <w:jc w:val="center"/>
          <w:trHeight w:val="90"/>
        </w:trPr>
        <w:tc>
          <w:tcPr>
            <w:tcBorders>
              <w:top w:val="single" w:color="auto" w:sz="4" w:space="0"/>
              <w:left w:val="single" w:color="auto" w:sz="4" w:space="0"/>
              <w:bottom w:val="single" w:color="000000" w:sz="4" w:space="0"/>
              <w:right w:val="single" w:color="000000" w:sz="4" w:space="0"/>
            </w:tcBorders>
            <w:tcW w:w="516" w:type="pct"/>
            <w:vAlign w:val="center"/>
            <w:textDirection w:val="lrTb"/>
            <w:noWrap/>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000000" w:sz="4" w:space="0"/>
              <w:bottom w:val="single" w:color="000000" w:sz="4" w:space="0"/>
              <w:right w:val="single" w:color="000000" w:sz="4" w:space="0"/>
            </w:tcBorders>
            <w:tcW w:w="1303" w:type="pct"/>
            <w:vAlign w:val="center"/>
            <w:textDirection w:val="lrTb"/>
            <w:noWrap/>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产品</w:t>
            </w:r>
            <w:r/>
          </w:p>
        </w:tc>
        <w:tc>
          <w:tcPr>
            <w:tcBorders>
              <w:top w:val="single" w:color="auto" w:sz="4" w:space="0"/>
              <w:left w:val="single" w:color="000000" w:sz="4" w:space="0"/>
              <w:bottom w:val="single" w:color="000000" w:sz="4" w:space="0"/>
              <w:right w:val="single" w:color="000000" w:sz="4" w:space="0"/>
            </w:tcBorders>
            <w:tcW w:w="1892" w:type="pct"/>
            <w:vAlign w:val="center"/>
            <w:textDirection w:val="lrTb"/>
            <w:noWrap w:val="false"/>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tc>
        <w:tc>
          <w:tcPr>
            <w:tcBorders>
              <w:top w:val="single" w:color="auto" w:sz="4" w:space="0"/>
              <w:left w:val="single" w:color="000000" w:sz="4" w:space="0"/>
              <w:bottom w:val="single" w:color="000000" w:sz="4" w:space="0"/>
              <w:right w:val="single" w:color="auto" w:sz="4" w:space="0"/>
            </w:tcBorders>
            <w:tcW w:w="565" w:type="pct"/>
            <w:vAlign w:val="center"/>
            <w:textDirection w:val="lrTb"/>
            <w:noWrap/>
          </w:tcPr>
          <w:p>
            <w:pPr>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Borders>
              <w:top w:val="single" w:color="auto" w:sz="4" w:space="0"/>
              <w:left w:val="single" w:color="000000" w:sz="4" w:space="0"/>
              <w:bottom w:val="single" w:color="000000" w:sz="4" w:space="0"/>
              <w:right w:val="single" w:color="auto" w:sz="4" w:space="0"/>
            </w:tcBorders>
            <w:tcW w:w="721" w:type="pct"/>
            <w:vAlign w:val="center"/>
            <w:textDirection w:val="lrTb"/>
            <w:noWrap/>
          </w:tcPr>
          <w:p>
            <w:pPr>
              <w:jc w:val="center"/>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备注</w:t>
            </w:r>
            <w:r/>
          </w:p>
        </w:tc>
      </w:tr>
      <w:tr>
        <w:trPr>
          <w:jc w:val="center"/>
          <w:trHeight w:val="404"/>
        </w:trPr>
        <w:tc>
          <w:tcPr>
            <w:tcBorders>
              <w:top w:val="single" w:color="000000" w:sz="4" w:space="0"/>
              <w:left w:val="single" w:color="auto" w:sz="4" w:space="0"/>
              <w:bottom w:val="single" w:color="000000" w:sz="4" w:space="0"/>
              <w:right w:val="single" w:color="000000" w:sz="4" w:space="0"/>
            </w:tcBorders>
            <w:tcW w:w="516" w:type="pct"/>
            <w:vAlign w:val="center"/>
            <w:textDirection w:val="lrTb"/>
            <w:noWrap/>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AI算力服务器</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详细见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AI算力服务器技术要求</w:t>
            </w:r>
            <w:r/>
          </w:p>
        </w:tc>
        <w:tc>
          <w:tcPr>
            <w:tcBorders>
              <w:top w:val="single" w:color="000000" w:sz="4" w:space="0"/>
              <w:left w:val="single" w:color="000000" w:sz="4" w:space="0"/>
              <w:bottom w:val="single" w:color="000000" w:sz="4" w:space="0"/>
              <w:right w:val="single" w:color="auto" w:sz="4" w:space="0"/>
            </w:tcBorders>
            <w:tcW w:w="565" w:type="pct"/>
            <w:vAlign w:val="center"/>
            <w:textDirection w:val="lrTb"/>
            <w:noWrap/>
          </w:tcPr>
          <w:p>
            <w:pPr>
              <w:ind w:firstLine="36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auto" w:sz="4" w:space="0"/>
            </w:tcBorders>
            <w:tcW w:w="721" w:type="pct"/>
            <w:vAlign w:val="center"/>
            <w:textDirection w:val="lrTb"/>
            <w:noWrap/>
          </w:tcPr>
          <w:p>
            <w:pPr>
              <w:ind w:firstLine="360"/>
              <w:spacing w:line="240" w:lineRule="auto"/>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工业</w:t>
            </w:r>
            <w:r/>
          </w:p>
        </w:tc>
      </w:tr>
      <w:tr>
        <w:trPr>
          <w:jc w:val="center"/>
          <w:trHeight w:val="404"/>
        </w:trPr>
        <w:tc>
          <w:tcPr>
            <w:tcBorders>
              <w:top w:val="single" w:color="000000" w:sz="4" w:space="0"/>
              <w:left w:val="single" w:color="auto" w:sz="4" w:space="0"/>
              <w:bottom w:val="single" w:color="000000" w:sz="4" w:space="0"/>
              <w:right w:val="single" w:color="000000" w:sz="4" w:space="0"/>
            </w:tcBorders>
            <w:tcW w:w="516" w:type="pct"/>
            <w:vAlign w:val="center"/>
            <w:textDirection w:val="lrTb"/>
            <w:noWrap/>
          </w:tcPr>
          <w:p>
            <w:pPr>
              <w:jc w:val="center"/>
              <w:spacing w:line="240" w:lineRule="auto"/>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配套网络交换设备</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详细见配套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网络设备技术要求</w:t>
            </w:r>
            <w:r/>
          </w:p>
        </w:tc>
        <w:tc>
          <w:tcPr>
            <w:tcBorders>
              <w:top w:val="single" w:color="000000" w:sz="4" w:space="0"/>
              <w:left w:val="single" w:color="000000" w:sz="4" w:space="0"/>
              <w:bottom w:val="single" w:color="000000" w:sz="4" w:space="0"/>
              <w:right w:val="single" w:color="auto" w:sz="4" w:space="0"/>
            </w:tcBorders>
            <w:tcW w:w="565" w:type="pct"/>
            <w:vAlign w:val="center"/>
            <w:textDirection w:val="lrTb"/>
            <w:noWrap/>
          </w:tcPr>
          <w:p>
            <w:pPr>
              <w:ind w:firstLine="360"/>
              <w:spacing w:line="240" w:lineRule="auto"/>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auto" w:sz="4" w:space="0"/>
            </w:tcBorders>
            <w:tcW w:w="721" w:type="pct"/>
            <w:vAlign w:val="center"/>
            <w:textDirection w:val="lrTb"/>
            <w:noWrap/>
          </w:tcPr>
          <w:p>
            <w:pPr>
              <w:ind w:firstLine="360"/>
              <w:spacing w:line="240" w:lineRule="auto"/>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工业</w:t>
            </w:r>
            <w:r/>
          </w:p>
        </w:tc>
      </w:tr>
    </w:tbl>
    <w:p>
      <w:pPr>
        <w:pStyle w:val="963"/>
        <w:ind w:firstLine="48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pStyle w:val="963"/>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（1）核心产品：本项目的核心产品为</w:t>
      </w:r>
      <w:r>
        <w:rPr>
          <w:rFonts w:hint="eastAsia" w:ascii="宋体" w:hAnsi="宋体" w:eastAsia="宋体" w:cs="宋体"/>
          <w:color w:val="000000" w:themeColor="text1"/>
          <w:sz w:val="24"/>
          <w:szCs w:val="24"/>
          <w:highlight w:val="none"/>
          <w:lang w:bidi="ar"/>
          <w14:textFill>
            <w14:solidFill>
              <w14:schemeClr w14:val="tx1"/>
            </w14:solidFill>
          </w14:textFill>
        </w:rPr>
        <w:t xml:space="preserve">AI算力服务器，通过高性能AI算力服务器</w:t>
      </w:r>
      <w:r>
        <w:rPr>
          <w:rFonts w:hint="eastAsia" w:ascii="宋体" w:hAnsi="宋体" w:eastAsia="宋体" w:cs="宋体"/>
          <w:color w:val="000000" w:themeColor="text1"/>
          <w:sz w:val="24"/>
          <w:szCs w:val="24"/>
          <w:highlight w:val="none"/>
          <w14:textFill>
            <w14:solidFill>
              <w14:schemeClr w14:val="tx1"/>
            </w14:solidFill>
          </w14:textFill>
        </w:rPr>
        <w:t xml:space="preserve">为太仓市娄江新城医院数智化建设项目（一期）应用平台软件系统</w:t>
      </w:r>
      <w:r>
        <w:rPr>
          <w:rFonts w:hint="eastAsia" w:ascii="宋体" w:hAnsi="宋体" w:eastAsia="宋体" w:cs="宋体"/>
          <w:color w:val="000000" w:themeColor="text1"/>
          <w:sz w:val="24"/>
          <w:szCs w:val="24"/>
          <w:highlight w:val="none"/>
          <w:lang w:bidi="ar"/>
          <w14:textFill>
            <w14:solidFill>
              <w14:schemeClr w14:val="tx1"/>
            </w14:solidFill>
          </w14:textFill>
        </w:rPr>
        <w:t xml:space="preserve">提供AI基础算力。</w:t>
      </w:r>
      <w:r/>
    </w:p>
    <w:p>
      <w:pPr>
        <w:pStyle w:val="963"/>
        <w:ind w:firstLine="48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（2）提供相同品牌核心产品且通过资格审查、符合性审查的不同投标人参加同一合同项下投标的，按一家投标人计算，评审后得分最高的同品牌投标人获得中标人推荐资格。</w:t>
      </w:r>
      <w:r/>
    </w:p>
    <w:p>
      <w:pPr>
        <w:ind w:firstLine="241"/>
        <w:spacing w:after="0" w:line="480" w:lineRule="exact"/>
        <w:tabs>
          <w:tab w:val="left" w:pos="993"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主要设备具体技术参数要求</w:t>
      </w:r>
      <w:r/>
    </w:p>
    <w:p>
      <w:pPr>
        <w:ind w:firstLine="480"/>
        <w:spacing w:after="0" w:line="480" w:lineRule="exact"/>
        <w:tabs>
          <w:tab w:val="left" w:pos="993" w:leader="none"/>
        </w:tabs>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1、AI算力服务器技术要求</w:t>
      </w:r>
      <w:r/>
    </w:p>
    <w:tbl>
      <w:tblPr>
        <w:tblStyle w:val="732"/>
        <w:tblpPr w:horzAnchor="margin" w:tblpXSpec="center" w:vertAnchor="text" w:tblpY="232"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6"/>
        <w:gridCol w:w="1459"/>
        <w:gridCol w:w="1403"/>
        <w:gridCol w:w="6392"/>
      </w:tblGrid>
      <w:tr>
        <w:trPr>
          <w:trHeight w:val="557"/>
        </w:trPr>
        <w:tc>
          <w:tcPr>
            <w:shd w:val="clear" w:color="000000" w:fill="d8d8d8"/>
            <w:tcW w:w="205" w:type="pct"/>
            <w:vAlign w:val="center"/>
            <w:textDirection w:val="lrTb"/>
            <w:noWrap w:val="false"/>
          </w:tcPr>
          <w:p>
            <w:pPr>
              <w:jc w:val="center"/>
              <w:spacing w:line="24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序号</w:t>
            </w:r>
            <w:r/>
          </w:p>
        </w:tc>
        <w:tc>
          <w:tcPr>
            <w:shd w:val="clear" w:color="000000" w:fill="d8d8d8"/>
            <w:tcW w:w="756" w:type="pct"/>
            <w:vAlign w:val="center"/>
            <w:textDirection w:val="lrTb"/>
            <w:noWrap w:val="false"/>
          </w:tcPr>
          <w:p>
            <w:pPr>
              <w:jc w:val="center"/>
              <w:spacing w:line="24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一级</w:t>
            </w:r>
            <w:r>
              <w:rPr>
                <w:rFonts w:hint="eastAsia" w:ascii="宋体" w:hAnsi="宋体" w:eastAsia="宋体" w:cs="宋体"/>
                <w:b/>
                <w:bCs/>
                <w:color w:val="000000" w:themeColor="text1"/>
                <w:sz w:val="24"/>
                <w:szCs w:val="24"/>
                <w14:textFill>
                  <w14:solidFill>
                    <w14:schemeClr w14:val="tx1"/>
                  </w14:solidFill>
                </w14:textFill>
              </w:rPr>
              <w:t xml:space="preserve">指标</w:t>
            </w:r>
            <w:r/>
          </w:p>
        </w:tc>
        <w:tc>
          <w:tcPr>
            <w:shd w:val="clear" w:color="000000" w:fill="d8d8d8"/>
            <w:tcW w:w="727" w:type="pct"/>
            <w:vAlign w:val="center"/>
            <w:textDirection w:val="lrTb"/>
            <w:noWrap w:val="false"/>
          </w:tcPr>
          <w:p>
            <w:pPr>
              <w:jc w:val="center"/>
              <w:spacing w:line="24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二级指标</w:t>
            </w:r>
            <w:r/>
          </w:p>
        </w:tc>
        <w:tc>
          <w:tcPr>
            <w:shd w:val="clear" w:color="000000" w:fill="d8d8d8"/>
            <w:tcW w:w="3312" w:type="pct"/>
            <w:vAlign w:val="center"/>
            <w:textDirection w:val="lrTb"/>
            <w:noWrap w:val="false"/>
          </w:tcPr>
          <w:p>
            <w:pPr>
              <w:jc w:val="center"/>
              <w:spacing w:line="24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技术要求</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*CPU规格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*CPU信息</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sz w:val="24"/>
                <w:szCs w:val="24"/>
                <w:lang w:eastAsia="zh-CN"/>
              </w:rPr>
              <w:t xml:space="preserve">配置两颗符合安全可靠测评要求的CPU处理器，每颗处理器核心数≥64核、≥128线程，基本主频≥2.7GHz、睿频 ≥3.1 GHz，TDP功耗≤400W,支持DDR5-4800，缓存每核≥1MB 二级缓存，≥256MB 三级缓存。</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*主板支持的CPU和内存情况</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主板支持不少于 2 颗符合安全可靠测评要求的 CPU 处理器，不少于 16 根 DDR5 的内存。</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*主板内存槽数量</w:t>
            </w:r>
            <w:r/>
          </w:p>
        </w:tc>
        <w:tc>
          <w:tcPr>
            <w:shd w:val="clear" w:color="000000" w:fill="auto"/>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非板载内存的可扩展插槽数量应不少于16个，整机具备不少于24根DDR5内存插槽。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*主板存储接口</w:t>
            </w:r>
            <w:r/>
          </w:p>
        </w:tc>
        <w:tc>
          <w:tcPr>
            <w:shd w:val="clear" w:color="000000" w:fill="auto"/>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至少支持SATA、SAS、M.2、U.2等存储接口中的1种</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*PCIe插槽接口</w:t>
            </w:r>
            <w:r/>
          </w:p>
        </w:tc>
        <w:tc>
          <w:tcPr>
            <w:shd w:val="clear" w:color="000000" w:fill="auto"/>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应符合PCIe4.0或以上的高速串行计算机扩展总线标准，PCIe的接口速率与位宽需保证向下兼容。</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*主板PCIe插槽数量及规格</w:t>
            </w:r>
            <w:r/>
          </w:p>
        </w:tc>
        <w:tc>
          <w:tcPr>
            <w:shd w:val="clear" w:color="000000" w:fill="auto"/>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主板PCIe插槽数量及规格：</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(1)高度大于44.45mm双路或以上服务器PCIe插槽或接口应不少于5个；</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(2)单路服务器PCIe插槽或接口应不少于4个，可通过扩展卡进行插槽扩展符合</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(3)不少于20个PCIe5.0 MCIO（X8）。最大支持可扩展8个PCIe5.0双宽全高全长槽，5个PCIe5.0单宽全高全长槽。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*内存规格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*内存数量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*内存规格</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≥DDR5。</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*内存通道</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应支持多个内存接口通道，每个通道可支持1DPC或2DPC，当支持2DPC时，印制电路板上应具备插槽的序号标识，具体通道数应在随机文件中明确。</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存储</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*硬磁盘实配容量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(1)配备硬磁盘，服务器提供</w:t>
            </w:r>
            <w:r>
              <w:rPr>
                <w:rFonts w:hint="eastAsia" w:ascii="宋体" w:hAnsi="宋体" w:eastAsia="宋体" w:cs="宋体"/>
                <w:color w:val="000000" w:themeColor="text1"/>
                <w:sz w:val="24"/>
                <w:szCs w:val="24"/>
                <w:lang w:eastAsia="zh-CN"/>
                <w14:textFill>
                  <w14:solidFill>
                    <w14:schemeClr w14:val="tx1"/>
                  </w14:solidFill>
                </w14:textFill>
              </w:rPr>
              <w:t xml:space="preserve">的实配硬磁盘可用容量应不小于</w:t>
            </w:r>
            <w:r>
              <w:rPr>
                <w:rFonts w:ascii="宋体" w:hAnsi="宋体" w:eastAsia="宋体" w:cs="宋体"/>
                <w:color w:val="000000" w:themeColor="text1"/>
                <w:sz w:val="24"/>
                <w:szCs w:val="24"/>
                <w:lang w:eastAsia="zh-CN"/>
                <w14:textFill>
                  <w14:solidFill>
                    <w14:schemeClr w14:val="tx1"/>
                  </w14:solidFill>
                </w14:textFill>
              </w:rPr>
              <w:t xml:space="preserve">600GB</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(2)配备固态盘，</w:t>
            </w:r>
            <w:r>
              <w:rPr>
                <w:rFonts w:hint="eastAsia" w:ascii="宋体" w:hAnsi="宋体" w:eastAsia="宋体" w:cs="宋体"/>
                <w:color w:val="000000" w:themeColor="text1"/>
                <w:sz w:val="24"/>
                <w:szCs w:val="24"/>
                <w:lang w:eastAsia="zh-CN"/>
                <w14:textFill>
                  <w14:solidFill>
                    <w14:schemeClr w14:val="tx1"/>
                  </w14:solidFill>
                </w14:textFill>
              </w:rPr>
              <w:t xml:space="preserve">实配固态盘单盘可用容量不小于</w:t>
            </w:r>
            <w:r>
              <w:rPr>
                <w:rFonts w:ascii="宋体" w:hAnsi="宋体" w:eastAsia="宋体" w:cs="宋体"/>
                <w:color w:val="000000" w:themeColor="text1"/>
                <w:sz w:val="24"/>
                <w:szCs w:val="24"/>
                <w:lang w:eastAsia="zh-CN"/>
                <w14:textFill>
                  <w14:solidFill>
                    <w14:schemeClr w14:val="tx1"/>
                  </w14:solidFill>
                </w14:textFill>
              </w:rPr>
              <w:t xml:space="preserve">480GB，NVMeSSD</w:t>
            </w:r>
            <w:r>
              <w:rPr>
                <w:rFonts w:hint="eastAsia" w:ascii="宋体" w:hAnsi="宋体" w:eastAsia="宋体" w:cs="宋体"/>
                <w:color w:val="000000" w:themeColor="text1"/>
                <w:sz w:val="24"/>
                <w:szCs w:val="24"/>
                <w:lang w:eastAsia="zh-CN"/>
                <w14:textFill>
                  <w14:solidFill>
                    <w14:schemeClr w14:val="tx1"/>
                  </w14:solidFill>
                </w14:textFill>
              </w:rPr>
              <w:t xml:space="preserve">容量不小于</w:t>
            </w:r>
            <w:r>
              <w:rPr>
                <w:rFonts w:ascii="宋体" w:hAnsi="宋体" w:eastAsia="宋体" w:cs="宋体"/>
                <w:color w:val="000000" w:themeColor="text1"/>
                <w:sz w:val="24"/>
                <w:szCs w:val="24"/>
                <w:lang w:eastAsia="zh-CN"/>
                <w14:textFill>
                  <w14:solidFill>
                    <w14:schemeClr w14:val="tx1"/>
                  </w14:solidFill>
                </w14:textFill>
              </w:rPr>
              <w:t xml:space="preserve">960GB。</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硬盘实配数</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(1)配备硬磁盘，服务器提供</w:t>
            </w:r>
            <w:r>
              <w:rPr>
                <w:rFonts w:hint="eastAsia" w:ascii="宋体" w:hAnsi="宋体" w:eastAsia="宋体" w:cs="宋体"/>
                <w:color w:val="000000" w:themeColor="text1"/>
                <w:sz w:val="24"/>
                <w:szCs w:val="24"/>
                <w:lang w:eastAsia="zh-CN"/>
                <w14:textFill>
                  <w14:solidFill>
                    <w14:schemeClr w14:val="tx1"/>
                  </w14:solidFill>
                </w14:textFill>
              </w:rPr>
              <w:t xml:space="preserve">的实配硬磁盘数量应不小于</w:t>
            </w:r>
            <w:r>
              <w:rPr>
                <w:rFonts w:ascii="宋体" w:hAnsi="宋体" w:eastAsia="宋体" w:cs="宋体"/>
                <w:color w:val="000000" w:themeColor="text1"/>
                <w:sz w:val="24"/>
                <w:szCs w:val="24"/>
                <w:lang w:eastAsia="zh-CN"/>
                <w14:textFill>
                  <w14:solidFill>
                    <w14:schemeClr w14:val="tx1"/>
                  </w14:solidFill>
                </w14:textFill>
              </w:rPr>
              <w:t xml:space="preserve">2块，可实现互为备份；</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(2)配备固态盘，</w:t>
            </w:r>
            <w:r>
              <w:rPr>
                <w:rFonts w:hint="eastAsia" w:ascii="宋体" w:hAnsi="宋体" w:eastAsia="宋体" w:cs="宋体"/>
                <w:color w:val="000000" w:themeColor="text1"/>
                <w:sz w:val="24"/>
                <w:szCs w:val="24"/>
                <w:lang w:eastAsia="zh-CN"/>
                <w14:textFill>
                  <w14:solidFill>
                    <w14:schemeClr w14:val="tx1"/>
                  </w14:solidFill>
                </w14:textFill>
              </w:rPr>
              <w:t xml:space="preserve">实配盘数应不小于</w:t>
            </w:r>
            <w:r>
              <w:rPr>
                <w:rFonts w:ascii="宋体" w:hAnsi="宋体" w:eastAsia="宋体" w:cs="宋体"/>
                <w:color w:val="000000" w:themeColor="text1"/>
                <w:sz w:val="24"/>
                <w:szCs w:val="24"/>
                <w:lang w:eastAsia="zh-CN"/>
                <w14:textFill>
                  <w14:solidFill>
                    <w14:schemeClr w14:val="tx1"/>
                  </w14:solidFill>
                </w14:textFill>
              </w:rPr>
              <w:t xml:space="preserve">2块。</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*硬盘插槽数量及规格</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机箱高度为</w:t>
            </w:r>
            <w:r>
              <w:rPr>
                <w:rFonts w:ascii="宋体" w:hAnsi="宋体" w:eastAsia="宋体" w:cs="宋体"/>
                <w:color w:val="000000" w:themeColor="text1"/>
                <w:sz w:val="24"/>
                <w:szCs w:val="24"/>
                <w:lang w:eastAsia="zh-CN"/>
                <w14:textFill>
                  <w14:solidFill>
                    <w14:schemeClr w14:val="tx1"/>
                  </w14:solidFill>
                </w14:textFill>
              </w:rPr>
              <w:t xml:space="preserve">176.4mm</w:t>
            </w:r>
            <w:r>
              <w:rPr>
                <w:rFonts w:hint="eastAsia" w:ascii="宋体" w:hAnsi="宋体" w:eastAsia="宋体" w:cs="宋体"/>
                <w:color w:val="000000" w:themeColor="text1"/>
                <w:sz w:val="24"/>
                <w:szCs w:val="24"/>
                <w:lang w:eastAsia="zh-CN"/>
                <w14:textFill>
                  <w14:solidFill>
                    <w14:schemeClr w14:val="tx1"/>
                  </w14:solidFill>
                </w14:textFill>
              </w:rPr>
              <w:t xml:space="preserve">的</w:t>
            </w:r>
            <w:r>
              <w:rPr>
                <w:rFonts w:ascii="宋体" w:hAnsi="宋体" w:eastAsia="宋体" w:cs="宋体"/>
                <w:color w:val="000000" w:themeColor="text1"/>
                <w:sz w:val="24"/>
                <w:szCs w:val="24"/>
                <w:lang w:eastAsia="zh-CN"/>
                <w14:textFill>
                  <w14:solidFill>
                    <w14:schemeClr w14:val="tx1"/>
                  </w14:solidFill>
                </w14:textFill>
              </w:rPr>
              <w:t xml:space="preserve">AI</w:t>
            </w:r>
            <w:r>
              <w:rPr>
                <w:rFonts w:hint="eastAsia" w:ascii="宋体" w:hAnsi="宋体" w:eastAsia="宋体" w:cs="宋体"/>
                <w:color w:val="000000" w:themeColor="text1"/>
                <w:sz w:val="24"/>
                <w:szCs w:val="24"/>
                <w:lang w:eastAsia="zh-CN"/>
                <w14:textFill>
                  <w14:solidFill>
                    <w14:schemeClr w14:val="tx1"/>
                  </w14:solidFill>
                </w14:textFill>
              </w:rPr>
              <w:t xml:space="preserve">算力服务器可支持的硬盘数量应不少于</w:t>
            </w:r>
            <w:r>
              <w:rPr>
                <w:rFonts w:ascii="宋体" w:hAnsi="宋体" w:eastAsia="宋体" w:cs="宋体"/>
                <w:color w:val="000000" w:themeColor="text1"/>
                <w:sz w:val="24"/>
                <w:szCs w:val="24"/>
                <w:lang w:eastAsia="zh-CN"/>
                <w14:textFill>
                  <w14:solidFill>
                    <w14:schemeClr w14:val="tx1"/>
                  </w14:solidFill>
                </w14:textFill>
              </w:rPr>
              <w:t xml:space="preserve">12</w:t>
            </w:r>
            <w:r>
              <w:rPr>
                <w:rFonts w:hint="eastAsia" w:ascii="宋体" w:hAnsi="宋体" w:eastAsia="宋体" w:cs="宋体"/>
                <w:color w:val="000000" w:themeColor="text1"/>
                <w:sz w:val="24"/>
                <w:szCs w:val="24"/>
                <w:lang w:eastAsia="zh-CN"/>
                <w14:textFill>
                  <w14:solidFill>
                    <w14:schemeClr w14:val="tx1"/>
                  </w14:solidFill>
                </w14:textFill>
              </w:rPr>
              <w:t xml:space="preserve">块；</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服务器硬盘尺寸，应支持</w:t>
            </w:r>
            <w:r>
              <w:rPr>
                <w:rFonts w:ascii="宋体" w:hAnsi="宋体" w:eastAsia="宋体" w:cs="宋体"/>
                <w:color w:val="000000" w:themeColor="text1"/>
                <w:sz w:val="24"/>
                <w:szCs w:val="24"/>
                <w:lang w:eastAsia="zh-CN"/>
                <w14:textFill>
                  <w14:solidFill>
                    <w14:schemeClr w14:val="tx1"/>
                  </w14:solidFill>
                </w14:textFill>
              </w:rPr>
              <w:t xml:space="preserve">3.5</w:t>
            </w:r>
            <w:r>
              <w:rPr>
                <w:rFonts w:hint="eastAsia" w:ascii="宋体" w:hAnsi="宋体" w:eastAsia="宋体" w:cs="宋体"/>
                <w:color w:val="000000" w:themeColor="text1"/>
                <w:sz w:val="24"/>
                <w:szCs w:val="24"/>
                <w:lang w:eastAsia="zh-CN"/>
                <w14:textFill>
                  <w14:solidFill>
                    <w14:schemeClr w14:val="tx1"/>
                  </w14:solidFill>
                </w14:textFill>
              </w:rPr>
              <w:t xml:space="preserve">英寸或</w:t>
            </w:r>
            <w:r>
              <w:rPr>
                <w:rFonts w:ascii="宋体" w:hAnsi="宋体" w:eastAsia="宋体" w:cs="宋体"/>
                <w:color w:val="000000" w:themeColor="text1"/>
                <w:sz w:val="24"/>
                <w:szCs w:val="24"/>
                <w:lang w:eastAsia="zh-CN"/>
                <w14:textFill>
                  <w14:solidFill>
                    <w14:schemeClr w14:val="tx1"/>
                  </w14:solidFill>
                </w14:textFill>
              </w:rPr>
              <w:t xml:space="preserve">2.5</w:t>
            </w:r>
            <w:r>
              <w:rPr>
                <w:rFonts w:hint="eastAsia" w:ascii="宋体" w:hAnsi="宋体" w:eastAsia="宋体" w:cs="宋体"/>
                <w:color w:val="000000" w:themeColor="text1"/>
                <w:sz w:val="24"/>
                <w:szCs w:val="24"/>
                <w:lang w:eastAsia="zh-CN"/>
                <w14:textFill>
                  <w14:solidFill>
                    <w14:schemeClr w14:val="tx1"/>
                  </w14:solidFill>
                </w14:textFill>
              </w:rPr>
              <w:t xml:space="preserve">英寸硬盘</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网络规格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网口速率和数量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配备网口数量不少于1个，且网口速率不少于1GE。</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高性能独立网卡配置规格</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▲配置不少于5个2端口200Gb高性能网卡，1个2端口25GE光接口网卡。</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高性能独立网卡数量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▲整机需支持不少于6张400Gb高速网卡同时运行，其中需支持不少于5张400Gb PCIe高速网卡网口后置。</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外部接口规格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显示接口</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显示接口类型应不少于1种，如：VGA、DP、HDMI等。</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USB接口</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配备USB接口，如USB2.0、USB3.0等。</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*电源规格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*电源模块数量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电源功率</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电源模块功率应有一定冗余，满足处理器满载时的需求。支持2000W/2200W/2600W CRPS3+1冗余电源配置。</w:t>
            </w:r>
            <w:r/>
          </w:p>
        </w:tc>
      </w:tr>
      <w:tr>
        <w:trPr>
          <w:trHeight w:val="27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*外观和结构</w:t>
            </w:r>
            <w:r/>
          </w:p>
        </w:tc>
        <w:tc>
          <w:tcPr>
            <w:shd w:val="clear" w:color="000000" w:fill="ffffff"/>
            <w:tcW w:w="3312" w:type="pct"/>
            <w:vAlign w:val="center"/>
            <w:textDirection w:val="lrTb"/>
            <w:noWrap w:val="false"/>
          </w:tcPr>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(1)服务器的零部件应紧固无松动，可插拔部件应可靠连接，开关、按钮和其它控制部件应灵活可靠，布局应方便使用；</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(2)产品表面不应有明显的凹痕、划伤、裂缝、变形和污染等。表面涂层均匀，不应起泡、龟裂、脱落和磨损，金属零部件无锈蚀及其它机械损伤；</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(3)产品表面说明功能的文字、符号和标志应清晰、端正且牢固；</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(4)应在服务器的显著位置提供运行状态的指示功能，并在随机文件中明确具体含义；</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(5)机架、机箱的尺寸应符合通用机柜的安装要求，插入总线插座的电路板接口外形尺寸应符合有关总线标准的规定，将机箱固定在机柜上，机箱底面最大下垂变形不得干涉相邻机体；</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(6)高密度服务器应给出CPU个数与机柜高度；</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(7)服务器尺寸具体要求在随机文件中明确。</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尺寸（高×宽×深）</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服务器尺寸长度应不高于</w:t>
            </w:r>
            <w:r>
              <w:rPr>
                <w:rFonts w:ascii="宋体" w:hAnsi="宋体" w:eastAsia="宋体" w:cs="宋体"/>
                <w:color w:val="000000" w:themeColor="text1"/>
                <w:sz w:val="24"/>
                <w:szCs w:val="24"/>
                <w:lang w:eastAsia="zh-CN"/>
                <w14:textFill>
                  <w14:solidFill>
                    <w14:schemeClr w14:val="tx1"/>
                  </w14:solidFill>
                </w14:textFill>
              </w:rPr>
              <w:t xml:space="preserve">850mm</w:t>
            </w:r>
            <w:r>
              <w:rPr>
                <w:rFonts w:hint="eastAsia" w:ascii="宋体" w:hAnsi="宋体" w:eastAsia="宋体" w:cs="宋体"/>
                <w:color w:val="000000" w:themeColor="text1"/>
                <w:sz w:val="24"/>
                <w:szCs w:val="24"/>
                <w:lang w:eastAsia="zh-CN"/>
                <w14:textFill>
                  <w14:solidFill>
                    <w14:schemeClr w14:val="tx1"/>
                  </w14:solidFill>
                </w14:textFill>
              </w:rPr>
              <w:t xml:space="preserve">、宽度不高于</w:t>
            </w:r>
            <w:r>
              <w:rPr>
                <w:rFonts w:ascii="宋体" w:hAnsi="宋体" w:eastAsia="宋体" w:cs="宋体"/>
                <w:color w:val="000000" w:themeColor="text1"/>
                <w:sz w:val="24"/>
                <w:szCs w:val="24"/>
                <w:lang w:eastAsia="zh-CN"/>
                <w14:textFill>
                  <w14:solidFill>
                    <w14:schemeClr w14:val="tx1"/>
                  </w14:solidFill>
                </w14:textFill>
              </w:rPr>
              <w:t xml:space="preserve">444.4mm</w:t>
            </w:r>
            <w:r>
              <w:rPr>
                <w:rFonts w:hint="eastAsia" w:ascii="宋体" w:hAnsi="宋体" w:eastAsia="宋体" w:cs="宋体"/>
                <w:color w:val="000000" w:themeColor="text1"/>
                <w:sz w:val="24"/>
                <w:szCs w:val="24"/>
                <w:lang w:eastAsia="zh-CN"/>
                <w14:textFill>
                  <w14:solidFill>
                    <w14:schemeClr w14:val="tx1"/>
                  </w14:solidFill>
                </w14:textFill>
              </w:rPr>
              <w:t xml:space="preserve">、高度不高于</w:t>
            </w:r>
            <w:r>
              <w:rPr>
                <w:rFonts w:ascii="宋体" w:hAnsi="宋体" w:eastAsia="宋体" w:cs="宋体"/>
                <w:color w:val="000000" w:themeColor="text1"/>
                <w:sz w:val="24"/>
                <w:szCs w:val="24"/>
                <w:lang w:eastAsia="zh-CN"/>
                <w14:textFill>
                  <w14:solidFill>
                    <w14:schemeClr w14:val="tx1"/>
                  </w14:solidFill>
                </w14:textFill>
              </w:rPr>
              <w:t xml:space="preserve">176.4mm</w:t>
            </w:r>
            <w:r>
              <w:rPr>
                <w:rFonts w:hint="eastAsia" w:ascii="宋体" w:hAnsi="宋体" w:eastAsia="宋体" w:cs="宋体"/>
                <w:color w:val="000000" w:themeColor="text1"/>
                <w:sz w:val="24"/>
                <w:szCs w:val="24"/>
                <w:lang w:eastAsia="zh-CN"/>
                <w14:textFill>
                  <w14:solidFill>
                    <w14:schemeClr w14:val="tx1"/>
                  </w14:solidFill>
                </w14:textFill>
              </w:rPr>
              <w:t xml:space="preserve">；设计应遵循标准化、系列化的要求；机箱的内部结构符合通用部件的安装需要</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*环境适应性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气候环境适应性应符合GB/T9813.3的有关规定，工作温度5～35℃，工作湿度：20%～80%RH；</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贮存运输：</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(1)短时间存储(≤72H)：温度-40℃～70℃/湿度20%～90%RH非凝结(含包装)</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(2)长时间存储(＞72H)：温度20℃～28℃/湿度30%～70%RH非凝结(含包装)；</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(3)大气压86～106kPa。</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*机械环境适应性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机械环境适应性应符合GB/T 9813.3的有关规定。</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*噪声</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符合GB/T 9813.3的有关规定，在产品说明中给出具体测试值塔式服务器噪声在空闲状态下不大于50dB。</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AI计算单元规格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AI计算单元</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单精浮点矢量算力FP32（Vector）≥14</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TFLOPS，单精浮点矩阵算力FP32（Matrix）≥28</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TFLOPS，TF32≥118</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TFLOPS；半精浮点算力FP16≥235</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TFLOPS，BF16≥235</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TFLOPS；整型算力INT8≥470</w:t>
            </w:r>
            <w:r>
              <w:rPr>
                <w:rFonts w:hint="eastAsia"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TOPS。</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AI计算单元数量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▲单台服务器配置至少8张。</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AI计算单元类型</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▲应符合安全、可靠可靠测评要求的PCIe GPU AI计算卡。</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AI计算单元显存</w:t>
            </w:r>
            <w:r/>
          </w:p>
        </w:tc>
        <w:tc>
          <w:tcPr>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▲单卡显存不小于64GB HBM2e，显存带宽实测值不小于1.6TB/s。</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AI计算单元接口</w:t>
            </w:r>
            <w:r/>
          </w:p>
        </w:tc>
        <w:tc>
          <w:tcPr>
            <w:tcW w:w="3312" w:type="pct"/>
            <w:vAlign w:val="center"/>
            <w:textDirection w:val="lrTb"/>
            <w:noWrap w:val="false"/>
          </w:tcPr>
          <w:p>
            <w:pPr>
              <w:jc w:val="both"/>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w:t>
            </w:r>
            <w:r>
              <w:rPr>
                <w:rFonts w:hint="eastAsia" w:ascii="宋体" w:hAnsi="宋体" w:eastAsia="宋体" w:cs="宋体"/>
                <w:color w:val="000000" w:themeColor="text1"/>
                <w:sz w:val="24"/>
                <w:szCs w:val="24"/>
                <w14:textFill>
                  <w14:solidFill>
                    <w14:schemeClr w14:val="tx1"/>
                  </w14:solidFill>
                </w14:textFill>
              </w:rPr>
              <w:t xml:space="preserve">支持16通道PCIe 5.0。</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AI计算单元卡间互联速率</w:t>
            </w:r>
            <w:r/>
          </w:p>
        </w:tc>
        <w:tc>
          <w:tcPr>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▲应支持计算节点内部GPU卡间互联，支持2或4或8卡互联（4卡互联带宽不低于350GB/s）。</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AI计算单元卡硬件虚拟化</w:t>
            </w:r>
            <w:r/>
          </w:p>
        </w:tc>
        <w:tc>
          <w:tcPr>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▲应支持GPU硬件虚拟化，可根据算力需求灵活切分GPU资源，可将一个物理GPU虚拟化成1/2/4/8多实例使用。</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AI计算单元卡软件虚拟化</w:t>
            </w:r>
            <w:r/>
          </w:p>
        </w:tc>
        <w:tc>
          <w:tcPr>
            <w:tcW w:w="3312" w:type="pct"/>
            <w:vAlign w:val="center"/>
            <w:textDirection w:val="lrTb"/>
            <w:noWrap w:val="false"/>
          </w:tcPr>
          <w:p>
            <w:pP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▲应支持GPU软件虚拟化，可根据算力需求灵活切分GPU资源，支持按照自定义不同比例动态切分单卡GPU算力和显存分配。</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AI计算单元功耗规格</w:t>
            </w:r>
            <w:r/>
          </w:p>
        </w:tc>
        <w:tc>
          <w:tcPr>
            <w:tcW w:w="3312" w:type="pct"/>
            <w:vAlign w:val="center"/>
            <w:textDirection w:val="lrTb"/>
            <w:noWrap w:val="false"/>
          </w:tcPr>
          <w:p>
            <w:pP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▲单卡最大TDP功耗不超过350W。</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AI计算单元配件规格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AI计算单元桥接器</w:t>
            </w:r>
            <w:r/>
          </w:p>
        </w:tc>
        <w:tc>
          <w:tcPr>
            <w:tcW w:w="3312" w:type="pct"/>
            <w:vAlign w:val="center"/>
            <w:textDirection w:val="lrTb"/>
            <w:noWrap w:val="false"/>
          </w:tcPr>
          <w:p>
            <w:pP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▲配置≥2套桥接器（1套2张，共计4张），与GPU卡兼容。</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AI计算单元软件栈规格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CUDA兼容性</w:t>
            </w:r>
            <w:r/>
          </w:p>
        </w:tc>
        <w:tc>
          <w:tcPr>
            <w:shd w:val="clear" w:color="000000" w:fill="ffffff"/>
            <w:tcW w:w="3312" w:type="pct"/>
            <w:vAlign w:val="center"/>
            <w:textDirection w:val="lrTb"/>
            <w:noWrap w:val="false"/>
          </w:tcPr>
          <w:p>
            <w:pP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▲GPU支持CUDA 11.6 samples ≥60个测试实例</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cudasamples负载列表至少需含asyncAPI</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c++11_cuda</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cpplntegration</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matrixMul</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alignedTypes,transpose,UnifiedMemoryPerf。</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软件栈编译共计</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▲提供的编译器可支持PyTorch原生编译，及CUDA 11.6samples的编译和运行。</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软件栈更新</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▲承诺3年内跟进CUDA版本更新进度，实现GPU软件栈对CUDA生态的兼容，并提供针对本设备的优化补丁。</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机柜规格</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机柜尺寸</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机柜尺寸要求，机柜长度：</w:t>
            </w:r>
            <w:r>
              <w:rPr>
                <w:rFonts w:ascii="宋体" w:hAnsi="宋体" w:eastAsia="宋体" w:cs="宋体"/>
                <w:color w:val="000000" w:themeColor="text1"/>
                <w:sz w:val="24"/>
                <w:szCs w:val="24"/>
                <w:lang w:eastAsia="zh-CN"/>
                <w14:textFill>
                  <w14:solidFill>
                    <w14:schemeClr w14:val="tx1"/>
                  </w14:solidFill>
                </w14:textFill>
              </w:rPr>
              <w:t xml:space="preserve">1200mm,</w:t>
            </w:r>
            <w:r>
              <w:rPr>
                <w:rFonts w:hint="eastAsia" w:ascii="宋体" w:hAnsi="宋体" w:eastAsia="宋体" w:cs="宋体"/>
                <w:color w:val="000000" w:themeColor="text1"/>
                <w:sz w:val="24"/>
                <w:szCs w:val="24"/>
                <w:lang w:eastAsia="zh-CN"/>
                <w14:textFill>
                  <w14:solidFill>
                    <w14:schemeClr w14:val="tx1"/>
                  </w14:solidFill>
                </w14:textFill>
              </w:rPr>
              <w:t xml:space="preserve">宽度：</w:t>
            </w:r>
            <w:r>
              <w:rPr>
                <w:rFonts w:ascii="宋体" w:hAnsi="宋体" w:eastAsia="宋体" w:cs="宋体"/>
                <w:color w:val="000000" w:themeColor="text1"/>
                <w:sz w:val="24"/>
                <w:szCs w:val="24"/>
                <w:lang w:eastAsia="zh-CN"/>
                <w14:textFill>
                  <w14:solidFill>
                    <w14:schemeClr w14:val="tx1"/>
                  </w14:solidFill>
                </w14:textFill>
              </w:rPr>
              <w:t xml:space="preserve">600mm,</w:t>
            </w:r>
            <w:r>
              <w:rPr>
                <w:rFonts w:hint="eastAsia" w:ascii="宋体" w:hAnsi="宋体" w:eastAsia="宋体" w:cs="宋体"/>
                <w:color w:val="000000" w:themeColor="text1"/>
                <w:sz w:val="24"/>
                <w:szCs w:val="24"/>
                <w:lang w:eastAsia="zh-CN"/>
                <w14:textFill>
                  <w14:solidFill>
                    <w14:schemeClr w14:val="tx1"/>
                  </w14:solidFill>
                </w14:textFill>
              </w:rPr>
              <w:t xml:space="preserve">高度</w:t>
            </w:r>
            <w:r>
              <w:rPr>
                <w:rFonts w:ascii="宋体" w:hAnsi="宋体" w:eastAsia="宋体" w:cs="宋体"/>
                <w:color w:val="000000" w:themeColor="text1"/>
                <w:sz w:val="24"/>
                <w:szCs w:val="24"/>
                <w:lang w:eastAsia="zh-CN"/>
                <w14:textFill>
                  <w14:solidFill>
                    <w14:schemeClr w14:val="tx1"/>
                  </w14:solidFill>
                </w14:textFill>
              </w:rPr>
              <w:t xml:space="preserve">:2000mm</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*主板功能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主板外部接口种类</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前置：不少于2个USB3.0、1个VGA；</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后置：不少于1个VGA、2个USB3.0、1个管理网口、1个串口、2个千兆RJ45网口。</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网络功能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网络功能</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应支持网络连接、网络访问、数据交换和网络管控功能。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*CPU功能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*计算处理</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应支持通用计算及虚拟化功能。处理器需集成整型计算单元、浮点计算单元、内存控制器、I/O模块等，处理器与存储部件、网络部件、I/O部件等组成计算系统，提供数据处理、网络接入等计算相关功能。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*密码算法实现</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CPU芯片应符合GM/T0008的相关规定，或芯片密码模块应符合GM/T 0028的相关规定。</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*电源功能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电源热插拔</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整机电源模块应具备热插拔功能。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电源过流保护</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应支持过流及短路保护的功能。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整机功能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散热方式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应支持风冷散热方式。</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系统运维</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系统运维</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整机具备</w:t>
            </w:r>
            <w:r>
              <w:rPr>
                <w:rFonts w:hint="eastAsia" w:ascii="宋体" w:hAnsi="宋体" w:eastAsia="宋体" w:cs="宋体"/>
                <w:color w:val="000000" w:themeColor="text1"/>
                <w:sz w:val="24"/>
                <w:szCs w:val="24"/>
                <w14:textFill>
                  <w14:solidFill>
                    <w14:schemeClr w14:val="tx1"/>
                  </w14:solidFill>
                </w14:textFill>
              </w:rPr>
              <w:t xml:space="preserve">集成系统管理芯片，支持IPMI2.0、KVM over IP等管理功能。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管理系统功能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BMC固件基础功能</w:t>
            </w:r>
            <w:r/>
          </w:p>
        </w:tc>
        <w:tc>
          <w:tcPr>
            <w:shd w:val="clear" w:color="000000" w:fill="ffffff"/>
            <w:tcW w:w="3312" w:type="pct"/>
            <w:vAlign w:val="center"/>
            <w:textDirection w:val="lrTb"/>
            <w:noWrap w:val="false"/>
          </w:tcPr>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(1)应支持DHCP设置网络功能；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(2)应支持静态IP设置网络功能；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(3)应支持设备日志记录，包括但不限于登录日志、操作日志和报警日志等功能；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(4)应支持日志信息导出和记录删除功能；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(5)应支持通过管理接口向外输出准确的报警信息功能；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(6)设备的BMC管理软件应能够按报警的严重程度进行区分；</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(7)应支持IPMI2.0、SNMP或Redfish等接口功能；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(8)应支持键盘、鼠标和视频的重定向、文本控制台的重定向、远程虚拟媒体、高可靠的硬件监控和管理功能；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(9)应支持基于网络开启、关闭和重启设备的功能，并查询当前设备开机运行状态；</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(10)应支持故障提示功能，并可通过接口读取服务器故障信息；</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(11)应支持基于网络的固件更新功能，包括BMC和BIOS等；</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(12)应支持基于网络安装操作系统的功能，并可通过网络控制台访问设备；</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(13)应支持通过本地的硬盘或光驱等存储设备，基于网络完成设备的操作系统安装功能；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(14)应支持通过浏览器打开管理界面并登录功能；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(15)应支持设置口令策略功能；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(16)应支持访问权限设置功能，并通过日志记录访问事件；</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(17)应支持对出厂默认的用户名及口令进行安全保护功能，并提供默认口令修改提示；</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(18)应支持读取设备主板的工作环境温度功能；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(19)应支持读取服务器CPU等核心器件的温度功能；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(20)应支持通过外部管理工具进行BMC参数设置的功能，并可基于网络通过外部管理工具对BMC进行管理；</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(21)应支持固件版本查询、固件升级</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(22)应支持基于网络实现开关机和复位控制的功能；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(23)BMC启动时间应不超过180s，实现功能包括网络、IPMI、散热、传感器服务可用；</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(24)应支持BMC固件设置的恢复出厂功能。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*BIOS固件基础功能</w:t>
            </w:r>
            <w:r/>
          </w:p>
        </w:tc>
        <w:tc>
          <w:tcPr>
            <w:shd w:val="clear" w:color="000000" w:fill="ffffff"/>
            <w:tcW w:w="3312" w:type="pct"/>
            <w:vAlign w:val="center"/>
            <w:textDirection w:val="lrTb"/>
            <w:noWrap w:val="false"/>
          </w:tcPr>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(1)应支持查看固件版本、内存信息、主板信息、处理器信息和系统时间信息功能；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(2)应支持上电初始化界面显示CPU信息、内存信息、固件版本和部分快捷键信息功能；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(3)应支持设置界面中英文显示切换功能；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(4)应支持查看PCIe设备信息，SATA设备信息功能；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(5)应支持操作系统安装和引导功能，应并向操作系统提供计算机主板信息和服务接口；</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(6)应支持设置启动顺序，并按照设置的启动顺序启动功能；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(7)应支持安全启动功能；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(8)应支持设置口令、修改口令、验证口令功能；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(9)应支持板载显示控制或独立显卡的显示控制功能；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(10)应支持RAID识别和启动功能；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(11)应支持串口重定向功能；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(12)应支持固件更新功能；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(13)应支持BIOS固件设置的恢复出厂功能；</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(14)应支持网络引导启用和关闭功能。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*远程控制</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应支持远程关机和重新启动功能。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操作系统及驱动功能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*操作系统及驱动的升级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应支持通过网络、闪存盘对操作系统、驱动进行升级。</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操作系统功</w:t>
            </w:r>
            <w:r>
              <w:rPr>
                <w:rFonts w:hint="eastAsia" w:ascii="宋体" w:hAnsi="宋体" w:eastAsia="宋体" w:cs="宋体"/>
                <w:color w:val="000000" w:themeColor="text1"/>
                <w:sz w:val="24"/>
                <w:szCs w:val="24"/>
                <w:lang w:eastAsia="zh-CN"/>
                <w14:textFill>
                  <w14:solidFill>
                    <w14:schemeClr w14:val="tx1"/>
                  </w14:solidFill>
                </w14:textFill>
              </w:rPr>
              <w:t xml:space="preserve">能</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(1)应支持访问控制、安全审计、网络接入鉴别等功能；</w:t>
            </w:r>
            <w:r/>
          </w:p>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(2)操作系统其他功能应满足操作系统政府采购需求标准中加*的指标要求。</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中文信息处理功能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中文信息处理功能</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应符合GB 18030的有关规定。</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关键部件安全要求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关键部件安全要求</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CPU和操作系统等关键部件应当符合安全可靠测评要求。</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固件安全要求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故障检测</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应支持故障检测功能，可以检测到具体的FRU（内存、硬盘等）的故障并发出告警。</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系统安全要求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*弱</w:t>
            </w:r>
            <w:r>
              <w:rPr>
                <w:rFonts w:hint="eastAsia" w:ascii="宋体" w:hAnsi="宋体" w:eastAsia="宋体" w:cs="宋体"/>
                <w:color w:val="000000" w:themeColor="text1"/>
                <w:sz w:val="24"/>
                <w:szCs w:val="24"/>
                <w14:textFill>
                  <w14:solidFill>
                    <w14:schemeClr w14:val="tx1"/>
                  </w14:solidFill>
                </w14:textFill>
              </w:rPr>
              <w:t xml:space="preserve">口令字典检查</w:t>
            </w:r>
            <w:r/>
          </w:p>
        </w:tc>
        <w:tc>
          <w:tcPr>
            <w:shd w:val="clear" w:color="000000" w:fill="ffffff"/>
            <w:tcW w:w="3312" w:type="pct"/>
            <w:vAlign w:val="center"/>
            <w:textDirection w:val="lrTb"/>
            <w:noWrap w:val="false"/>
          </w:tcPr>
          <w:p>
            <w:pPr>
              <w:jc w:val="both"/>
              <w:spacing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应支持弱口令字典检查功能，出现在弱口令字典中的字符串不能被设置为用户口令。</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白名单访问控制</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应支持基于时间、IP或MAC白名单访问控制。</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二次鉴别</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应支持二次鉴别功能。对于用户配置、权限配置、公钥导入等重要的管理操作，已登录用户应通过二次鉴别后，才能执行操作。</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*密码证书安全加密存储</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应支持对带外管理系统中的用户口令和证书等敏感信息进行加密存储，禁止使用私有的和业界已知不安全的密码算法。</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*敏感信息安全加密传输</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应支持使用安全的传输加密协议（如SSH或HTTPS等）传输用户的敏感信息。</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*信息安全要求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研发过程安全</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投标人需提供承诺，生产商已建立从需求、设计、开发、测试、维护端到端的开发流程管理机制，输出和保存开发流程中每个阶段的产品需求清单、设计文档、开发文档、测试记录等材料，保证各个流程可追溯。</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物理安全</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物理安全</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安全要求应符合GB 4943.1的规定。</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限用物质的限量要求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限用物质的限量要求</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限用物质的限量应符合GB/T 26572的要求。</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*CPU性能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CPU主频</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≥2.7GHz。</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单CPU核数</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≥64核。</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*单CPU末级缓存容量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≥256MB。</w:t>
            </w:r>
            <w:r/>
          </w:p>
        </w:tc>
      </w:tr>
      <w:tr>
        <w:trPr>
          <w:trHeight w:val="454"/>
        </w:trPr>
        <w:tc>
          <w:tcPr>
            <w:shd w:val="clear" w:color="000000" w:fill="ffffff"/>
            <w:tcW w:w="205" w:type="pct"/>
            <w:vAlign w:val="center"/>
            <w:textDirection w:val="lrTb"/>
            <w:noWrap w:val="false"/>
          </w:tcPr>
          <w:p>
            <w:pPr>
              <w:pStyle w:val="920"/>
              <w:numPr>
                <w:ilvl w:val="0"/>
                <w:numId w:val="2"/>
              </w:numP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内存性能</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单内存模块容量</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▲≥64GB。</w:t>
            </w:r>
            <w:r/>
          </w:p>
        </w:tc>
      </w:tr>
      <w:tr>
        <w:trPr>
          <w:trHeight w:val="454"/>
        </w:trPr>
        <w:tc>
          <w:tcPr>
            <w:shd w:val="clear" w:color="000000" w:fill="ffffff"/>
            <w:tcW w:w="205" w:type="pct"/>
            <w:vAlign w:val="center"/>
            <w:textDirection w:val="lrTb"/>
            <w:noWrap w:val="false"/>
          </w:tcPr>
          <w:p>
            <w:pPr>
              <w:pStyle w:val="920"/>
              <w:numPr>
                <w:ilvl w:val="0"/>
                <w:numId w:val="2"/>
              </w:numP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内存速率</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≥4800MT/s。</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电源能耗</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电源能耗</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应符合GB/T 9813.3的有关规定。</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部件兼容性要求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内存兼容性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应适配3种及以上厂商的内存产品，且均不低于产品支持的内存规格。</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固态存储兼容性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应适配3种或以上厂商的固态存储产品，且均不低于产品支持的固态存储设备规格。</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网卡兼容</w:t>
            </w:r>
            <w:r>
              <w:rPr>
                <w:rFonts w:hint="eastAsia" w:ascii="宋体" w:hAnsi="宋体" w:eastAsia="宋体" w:cs="宋体"/>
                <w:color w:val="000000" w:themeColor="text1"/>
                <w:sz w:val="24"/>
                <w:szCs w:val="24"/>
                <w:lang w:eastAsia="zh-CN"/>
                <w14:textFill>
                  <w14:solidFill>
                    <w14:schemeClr w14:val="tx1"/>
                  </w14:solidFill>
                </w14:textFill>
              </w:rPr>
              <w:t xml:space="preserve">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网卡应适配两种或以上厂商产品。</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功能卡兼容性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内置或适配应符合PCIe的功能卡，如：网络功能卡、存储功能卡及图形显示功能卡。</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外设兼容性</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外设兼容性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应兼容多种主流生产商的外部设备，包括显示器、键盘、鼠标、闪存盘、移动硬盘、USB光驱及KVM等，要求使用不同厂商的外部设备时，系统均能正常识别和安装驱动。</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软件兼容性</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数据库兼容</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应兼容3个及以上厂商的数据库产品。</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中间件兼容</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应兼容3个及以上厂商的中间件产品。</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平台软件兼容</w:t>
            </w:r>
            <w:r/>
          </w:p>
        </w:tc>
        <w:tc>
          <w:tcPr>
            <w:shd w:val="clear" w:color="000000" w:fill="ffffff"/>
            <w:tcW w:w="3312" w:type="pct"/>
            <w:vAlign w:val="center"/>
            <w:textDirection w:val="lrTb"/>
            <w:noWrap w:val="false"/>
          </w:tcPr>
          <w:p>
            <w:pPr>
              <w:jc w:val="both"/>
              <w:spacing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应兼容3个及以上厂商的大数据平台。</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lang w:eastAsia="zh-CN"/>
              </w:rPr>
              <w:t xml:space="preserve">虚拟化软</w:t>
            </w:r>
            <w:r>
              <w:rPr>
                <w:lang w:eastAsia="zh-CN"/>
              </w:rPr>
              <w:t xml:space="preserve"> </w:t>
            </w:r>
            <w:r>
              <w:rPr>
                <w:rFonts w:hint="eastAsia" w:ascii="宋体" w:hAnsi="宋体" w:eastAsia="宋体" w:cs="宋体"/>
                <w:lang w:eastAsia="zh-CN"/>
              </w:rPr>
              <w:t xml:space="preserve">件兼容</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兼容</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款及以上虚拟化软件</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整机可靠性要求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SATA SSD</w:t>
            </w:r>
            <w:r>
              <w:rPr>
                <w:rFonts w:hint="eastAsia" w:ascii="宋体" w:hAnsi="宋体" w:eastAsia="宋体" w:cs="宋体"/>
                <w:color w:val="000000" w:themeColor="text1"/>
                <w:sz w:val="24"/>
                <w:szCs w:val="24"/>
                <w:lang w:eastAsia="zh-CN"/>
                <w14:textFill>
                  <w14:solidFill>
                    <w14:schemeClr w14:val="tx1"/>
                  </w14:solidFill>
                </w14:textFill>
              </w:rPr>
              <w:t xml:space="preserve">可靠性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t xml:space="preserve">SSD</w:t>
            </w:r>
            <w:r>
              <w:rPr>
                <w:rFonts w:hint="eastAsia" w:ascii="宋体" w:hAnsi="宋体" w:eastAsia="宋体" w:cs="宋体"/>
              </w:rPr>
              <w:t xml:space="preserve">的</w:t>
            </w:r>
            <w:r>
              <w:t xml:space="preserve">m1</w:t>
            </w:r>
            <w:r>
              <w:rPr>
                <w:rFonts w:hint="eastAsia" w:ascii="宋体" w:hAnsi="宋体" w:eastAsia="宋体" w:cs="宋体"/>
              </w:rPr>
              <w:t xml:space="preserve">值（</w:t>
            </w:r>
            <w:r>
              <w:t xml:space="preserve">MTBF</w:t>
            </w:r>
            <w:r>
              <w:rPr>
                <w:rFonts w:hint="eastAsia" w:ascii="宋体" w:hAnsi="宋体" w:eastAsia="宋体" w:cs="宋体"/>
              </w:rPr>
              <w:t xml:space="preserve">的不可接受值）</w:t>
            </w:r>
            <w:r>
              <w:t xml:space="preserve"> </w:t>
            </w:r>
            <w:r>
              <w:rPr>
                <w:rFonts w:hint="eastAsia" w:ascii="宋体" w:hAnsi="宋体" w:eastAsia="宋体" w:cs="宋体"/>
              </w:rPr>
              <w:t xml:space="preserve">不低于</w:t>
            </w:r>
            <w:r>
              <w:t xml:space="preserve">200000h</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整机可靠性</w:t>
            </w:r>
            <w:r/>
          </w:p>
        </w:tc>
        <w:tc>
          <w:tcPr>
            <w:shd w:val="clear" w:color="000000" w:fill="ffffff"/>
            <w:tcW w:w="3312" w:type="pct"/>
            <w:vAlign w:val="center"/>
            <w:textDirection w:val="lrTb"/>
            <w:noWrap w:val="false"/>
          </w:tcPr>
          <w:p>
            <w:pPr>
              <w:jc w:val="both"/>
              <w:spacing w:line="24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m1值（MTBF的不可接受值）不得低于30000h</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风扇可靠性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风扇寿命应不低于40000h。</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部件可靠性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应支持硬盘、电源、风扇热插拔(内置风扇除外)。</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包装及运输要求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*标志、包装、运输和贮存</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应符合GB/T 9813.3和商品包装政府采购需求标准的相关规定。</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*服务响应</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*服务响应</w:t>
            </w:r>
            <w:r/>
          </w:p>
        </w:tc>
        <w:tc>
          <w:tcPr>
            <w:shd w:val="clear" w:color="000000" w:fill="ffffff"/>
            <w:tcW w:w="3312" w:type="pct"/>
            <w:vAlign w:val="center"/>
            <w:textDirection w:val="lrTb"/>
            <w:noWrap w:val="false"/>
          </w:tcPr>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(1)需提供电话、电子邮件、远程连接等多种形式服务；</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(2)需提供同城4h、异地12h技术响应服务，2个工作日解决问题，对于未能解决的问题和故障应提供可行的升级方案，并提供周转设备；</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(3)建立全国技术服务体系和服务团体，应符合专业服务体系标准要求，提供原厂中文服务；</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(4)服务周期内需提供产品的维修、换件和升级服务</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*培训服务</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投标人需提供培训材料、产品手册、培训视频等培训相关内容</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*服务周期</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*服务周期</w:t>
            </w:r>
            <w:r/>
          </w:p>
        </w:tc>
        <w:tc>
          <w:tcPr>
            <w:shd w:val="clear" w:color="000000" w:fill="ffffff"/>
            <w:tcW w:w="3312" w:type="pct"/>
            <w:vAlign w:val="center"/>
            <w:textDirection w:val="lrTb"/>
            <w:noWrap w:val="false"/>
          </w:tcPr>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(1)产品免费服务周期（含换件和维修）应不小于3年；</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(2)设备停产后继续提供质量保障服务（含备品备件），服务终止时间与最后一批设备交付时间间隔不低于6年；</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(3)产品停止服务时间应提前1年告知客户；</w:t>
            </w:r>
            <w:r/>
          </w:p>
          <w:p>
            <w:pPr>
              <w:jc w:val="both"/>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(4)产品发布日期需在随机文件中明确。</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服务工具要求</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工具要求</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投标人需提供设置服务器硬件、辅助操作系统安装等功能的辅助工具和管理软件。且随附软件应具有合法授权或版权。</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驱动安装升级指引</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投标人需提供出厂安装的配件所需的驱动程序，形式包括但不限于驱动光盘、驱动下载链接等。其他配件应提供指引。</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管理软件</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应具备资源管理、系统管理、性能监控、健康监控、基于网络控制、报警设置功能。</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增值服务</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*厂家升级产品软件与扩容服务</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投标人需提供原厂级的部件/软件产品升级和扩容能力。</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提供上门服务</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投标人需具备提供上门服务的能力(可收费)。</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restart"/>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供应链质量</w:t>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抗干扰性</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当产品部件出现供应风险时，应通知客户并提供风险应对方案确保产品的服务保障，必要时应停止相关受影响产品的销售。</w:t>
            </w:r>
            <w:r/>
          </w:p>
        </w:tc>
      </w:tr>
      <w:tr>
        <w:trPr>
          <w:trHeight w:val="454"/>
        </w:trPr>
        <w:tc>
          <w:tcPr>
            <w:shd w:val="clear" w:color="000000" w:fill="ffffff"/>
            <w:tcW w:w="205" w:type="pct"/>
            <w:vAlign w:val="center"/>
            <w:textDirection w:val="lrTb"/>
            <w:noWrap w:val="false"/>
          </w:tcPr>
          <w:p>
            <w:pPr>
              <w:pStyle w:val="920"/>
              <w:numPr>
                <w:ilvl w:val="0"/>
                <w:numId w:val="2"/>
              </w:num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56" w:type="pct"/>
            <w:vAlign w:val="center"/>
            <w:vMerge w:val="continue"/>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shd w:val="clear" w:color="000000" w:fill="ffffff"/>
            <w:tcW w:w="727" w:type="pct"/>
            <w:vAlign w:val="center"/>
            <w:textDirection w:val="lrTb"/>
            <w:noWrap w:val="false"/>
          </w:tcPr>
          <w:p>
            <w:pPr>
              <w:jc w:val="center"/>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供应能力证明</w:t>
            </w:r>
            <w:r/>
          </w:p>
        </w:tc>
        <w:tc>
          <w:tcPr>
            <w:shd w:val="clear" w:color="000000" w:fill="ffffff"/>
            <w:tcW w:w="3312" w:type="pct"/>
            <w:vAlign w:val="center"/>
            <w:textDirection w:val="lrTb"/>
            <w:noWrap w:val="false"/>
          </w:tcPr>
          <w:p>
            <w:pPr>
              <w:jc w:val="both"/>
              <w:spacing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投标人需提供供应链稳定承诺书，确保产品的部件在产品服务周期内稳定供货。</w:t>
            </w:r>
            <w:r/>
          </w:p>
        </w:tc>
      </w:tr>
    </w:tbl>
    <w:p>
      <w:pPr>
        <w:spacing w:after="0" w:line="480" w:lineRule="exact"/>
        <w:tabs>
          <w:tab w:val="left" w:pos="993" w:leader="none"/>
        </w:tabs>
        <w:rPr>
          <w:rFonts w:hint="eastAsia" w:ascii="宋体" w:hAnsi="宋体" w:eastAsia="宋体" w:cs="宋体"/>
          <w:color w:val="000000" w:themeColor="text1"/>
          <w:sz w:val="24"/>
          <w:szCs w:val="24"/>
          <w:highlight w:val="none"/>
          <w:lang w:eastAsia="zh-CN" w:bidi="ar"/>
          <w14:textFill>
            <w14:solidFill>
              <w14:schemeClr w14:val="tx1"/>
            </w14:solidFill>
          </w14:textFill>
        </w:rPr>
      </w:pPr>
      <w:r/>
      <w:bookmarkStart w:id="37" w:name="_GoBack"/>
      <w:r/>
      <w:bookmarkEnd w:id="37"/>
      <w:r/>
      <w:r/>
    </w:p>
    <w:p>
      <w:pPr>
        <w:ind w:firstLine="482"/>
        <w:keepLines w:val="0"/>
        <w:keepNext w:val="0"/>
        <w:pageBreakBefore w:val="0"/>
        <w:spacing w:after="0" w:line="480" w:lineRule="exact"/>
        <w:widowControl/>
        <w:tabs>
          <w:tab w:val="left" w:pos="993"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 xml:space="preserve">2、配套网络交换设备技术要求</w:t>
      </w:r>
      <w:r/>
    </w:p>
    <w:p>
      <w:pPr>
        <w:pStyle w:val="920"/>
        <w:numPr>
          <w:ilvl w:val="0"/>
          <w:numId w:val="0"/>
        </w:numPr>
        <w:ind w:firstLine="480"/>
        <w:keepLines w:val="0"/>
        <w:keepNext w:val="0"/>
        <w:pageBreakBefore w:val="0"/>
        <w:spacing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交换机配置一，数量1台：技术要求</w:t>
      </w:r>
      <w:r/>
    </w:p>
    <w:tbl>
      <w:tblPr>
        <w:tblStyle w:val="732"/>
        <w:tblW w:w="9528" w:type="dxa"/>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551"/>
        <w:gridCol w:w="6056"/>
      </w:tblGrid>
      <w:tr>
        <w:trPr>
          <w:trHeight w:val="590"/>
        </w:trPr>
        <w:tc>
          <w:tcPr>
            <w:shd w:val="clear" w:color="000000" w:fill="d8d8d8"/>
            <w:tcW w:w="92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shd w:val="clear" w:color="000000" w:fill="d8d8d8"/>
            <w:tcW w:w="25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指标</w:t>
            </w:r>
            <w:r/>
          </w:p>
        </w:tc>
        <w:tc>
          <w:tcPr>
            <w:shd w:val="clear" w:color="000000" w:fill="d8d8d8"/>
            <w:tcW w:w="60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技术要求</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交换容量</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▲不小于16.0Tbps（双向）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端口数</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▲不小于24个200GE端口和8个400GE端口，支持400GE端口拆分。</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包转发率</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不小于5350Mpps</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转发模式</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支持store-forward模式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SDN控制器</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应支持SDN控制器。</w:t>
            </w:r>
            <w:r/>
          </w:p>
        </w:tc>
      </w:tr>
      <w:tr>
        <w:trPr>
          <w:trHeight w:val="109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数据中心特性</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▲应支持RDMA无损网络，支持BUFFER可视化，支持PFC、ECN，支持AI ECN动态调优，动态调节ECN门限，支持智能识别和分析流量模型，包括TCP流量、UDP流量和全流分析，支持RoCE与TCP流量的按比例调度功能，实现精准流量控制，支持PFC死锁预防。</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可编程</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支持NETCONF、支持Python、支持Ansible自动化配置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MAC地址表</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应支持动态、静态、黑洞MAC地址表项、支持MAC地址自动学习和老化，支持源MAC地址过滤。</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VLAN</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支持基于端口、基于协议、基于MAC的VLAN、支持Default VLAN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8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流量监控</w:t>
            </w:r>
            <w:r/>
          </w:p>
        </w:tc>
        <w:tc>
          <w:tcPr>
            <w:shd w:val="clear" w:color="000000" w:fill="ffffff"/>
            <w:tcW w:w="6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支持sFlow/NetStream，支持Telemetry/Telemetry Stream，支持RoCE集群智能运维平台，支持gRPC高速数据主动上报，全网路径主动探测，实时监测网络健康状态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ARP</w:t>
            </w:r>
            <w:r/>
          </w:p>
        </w:tc>
        <w:tc>
          <w:tcPr>
            <w:shd w:val="clear" w:color="000000" w:fill="ffffff"/>
            <w:tcW w:w="605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支持ARP、RARP、免费ARP、支持Dynamic ARP Inspection、支持ARP源抑制、支持ARP Detection功能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8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IP路由</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应支持静态路由和默认路由、支持RIP、OSPF、BGP、ISIS等IPv4动态路由协议、支持RIPng、OSPFv3、BGP4+、ISISv6等IPv6动态路由协议、支持等价路由、策略路由。</w:t>
            </w:r>
            <w:r/>
          </w:p>
        </w:tc>
      </w:tr>
      <w:tr>
        <w:trPr>
          <w:trHeight w:val="55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IPV6特性</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15" w:name="OLE_LINK2"/>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bookmarkEnd w:id="15"/>
            <w:r>
              <w:rPr>
                <w:rFonts w:hint="eastAsia" w:ascii="宋体" w:hAnsi="宋体" w:eastAsia="宋体" w:cs="宋体"/>
                <w:color w:val="000000" w:themeColor="text1"/>
                <w:sz w:val="24"/>
                <w:szCs w:val="24"/>
                <w:highlight w:val="none"/>
                <w14:textFill>
                  <w14:solidFill>
                    <w14:schemeClr w14:val="tx1"/>
                  </w14:solidFill>
                </w14:textFill>
              </w:rPr>
              <w:t xml:space="preserve">支持IPv6 ND（Neighbor Discovery）、支持PMTU发现（Path MTU Discovery）、支持ICMPv6、Telnetv6、SNMPv6、VRRPv3和IPv6 Tunnel</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可靠性</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支持STP、RSTP、MSTP、支持BPDU保护、根保护、环路保护、支持LACP、支持DLDP、支持M-LAG</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9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QoS</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支持端口收发报文限速、支持ACL、优先级重新标记、队列、支持SP、WRR、WFQ、SP+WRR、SP+WFQ等多种队列调度、支持Layer 2~Layer 4包过滤功能、支持基于源MAC、目的MAC、源IP(IPv4/IPv6)地址、目的IP(IPv4/IPv6)地址、端口、协议、VLAN的流分类、支持流量整形、支持WRED、尾丢弃等拥塞避免机制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32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镜像</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应支持流量镜像、支持N:4端口镜像、支持本地和远程端口镜像ERSPAN。</w:t>
            </w:r>
            <w:r/>
          </w:p>
        </w:tc>
      </w:tr>
      <w:tr>
        <w:trPr>
          <w:trHeight w:val="109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安全特性</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支持用户分级管理和口令保护、支持IP、MAC、端口、VLAN的组合绑定、支持防止DOS、ARP、ICMP等攻击、支持IP Source Guard、端口隔离、支持CPU防攻击功能、支持ARP防攻击功能、支持自动防御（ARP/DHCP/ICMP等攻击防御）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900"/>
        </w:trPr>
        <w:tc>
          <w:tcPr>
            <w:shd w:val="clear" w:color="000000" w:fill="ffffff"/>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w:t>
            </w:r>
            <w:r/>
          </w:p>
        </w:tc>
        <w:tc>
          <w:tcPr>
            <w:shd w:val="clear" w:color="000000" w:fill="ffffff"/>
            <w:tcW w:w="25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管理和维护</w:t>
            </w:r>
            <w:r/>
          </w:p>
        </w:tc>
        <w:tc>
          <w:tcPr>
            <w:shd w:val="clear" w:color="000000" w:fill="ffffff"/>
            <w:tcW w:w="6056"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16" w:name="OLE_LINK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bookmarkEnd w:id="16"/>
            <w:r>
              <w:rPr>
                <w:rFonts w:hint="eastAsia" w:ascii="宋体" w:hAnsi="宋体" w:eastAsia="宋体" w:cs="宋体"/>
                <w:color w:val="000000" w:themeColor="text1"/>
                <w:sz w:val="24"/>
                <w:szCs w:val="24"/>
                <w:highlight w:val="none"/>
                <w14:textFill>
                  <w14:solidFill>
                    <w14:schemeClr w14:val="tx1"/>
                  </w14:solidFill>
                </w14:textFill>
              </w:rPr>
              <w:t xml:space="preserve">支持Telemetry可视化功能、支持缓存微突发检测、支持零配置Auto-conf</w:t>
            </w:r>
            <w:r>
              <w:rPr>
                <w:rFonts w:hint="eastAsia" w:ascii="宋体" w:hAnsi="宋体" w:eastAsia="宋体" w:cs="宋体"/>
                <w:color w:val="000000" w:themeColor="text1"/>
                <w:sz w:val="24"/>
                <w:szCs w:val="24"/>
                <w:highlight w:val="none"/>
                <w14:textFill>
                  <w14:solidFill>
                    <w14:schemeClr w14:val="tx1"/>
                  </w14:solidFill>
                </w14:textFill>
              </w:rPr>
              <w:t xml:space="preserve">ig和配置回滚、支持命令行接口（CLI）配置、支持通过Console、Telnet、SSH等配置方式、支持RMON （Remote Monitoring）、支持SNMP v1/v2c/v3、支持网管系统、支持Netconf和Python、支持系统日志和用户操作日志、支持分级告警、支持电源、风扇、温度告警功能、支持NTP网络时间协议、支持Jumbo Frame 9216字节、支持Ping、Tracert等调试信息输出、支持FTP、TFTP、USB等方式上传和下载文件、支持全端口独立安全隔离、支持自动化上线部署</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bl>
    <w:p>
      <w:pPr>
        <w:spacing w:after="0" w:line="480" w:lineRule="exact"/>
        <w:rPr>
          <w:rFonts w:ascii="宋体" w:hAnsi="宋体" w:eastAsia="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r>
      <w:r/>
    </w:p>
    <w:p>
      <w:pPr>
        <w:pStyle w:val="920"/>
        <w:numPr>
          <w:ilvl w:val="0"/>
          <w:numId w:val="0"/>
        </w:numPr>
        <w:ind w:firstLine="480"/>
        <w:keepLines w:val="0"/>
        <w:keepNext w:val="0"/>
        <w:pageBreakBefore w:val="0"/>
        <w:spacing w:after="0"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交换机配置二，数量1台：技术要求</w:t>
      </w:r>
      <w:r/>
    </w:p>
    <w:tbl>
      <w:tblPr>
        <w:tblStyle w:val="732"/>
        <w:tblW w:w="9325"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088"/>
        <w:gridCol w:w="6517"/>
      </w:tblGrid>
      <w:tr>
        <w:trPr>
          <w:trHeight w:val="624"/>
        </w:trPr>
        <w:tc>
          <w:tcPr>
            <w:shd w:val="clear" w:color="000000" w:fill="d8d8d8"/>
            <w:tcW w:w="720"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序号</w:t>
            </w:r>
            <w:r/>
          </w:p>
        </w:tc>
        <w:tc>
          <w:tcPr>
            <w:shd w:val="clear" w:color="000000" w:fill="d8d8d8"/>
            <w:tcW w:w="2088"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指标</w:t>
            </w:r>
            <w:r/>
          </w:p>
        </w:tc>
        <w:tc>
          <w:tcPr>
            <w:shd w:val="clear" w:color="000000" w:fill="d8d8d8"/>
            <w:tcW w:w="6517"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管理交换机技术要求</w:t>
            </w:r>
            <w:r/>
          </w:p>
        </w:tc>
      </w:tr>
      <w:tr>
        <w:trPr>
          <w:trHeight w:val="32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交换容量</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不小于4.0Tbps（双向）。</w:t>
            </w:r>
            <w:r/>
          </w:p>
        </w:tc>
      </w:tr>
      <w:tr>
        <w:trPr>
          <w:trHeight w:val="32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端口数</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不小于48个25GE端口和8个100GE端口。</w:t>
            </w:r>
            <w:r/>
          </w:p>
        </w:tc>
      </w:tr>
      <w:tr>
        <w:trPr>
          <w:trHeight w:val="32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包转发率</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不小于2000Mpps。</w:t>
            </w:r>
            <w:r/>
          </w:p>
        </w:tc>
      </w:tr>
      <w:tr>
        <w:trPr>
          <w:trHeight w:val="32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转发模式</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应支持store-forward模式。</w:t>
            </w:r>
            <w:r/>
          </w:p>
        </w:tc>
      </w:tr>
      <w:tr>
        <w:trPr>
          <w:trHeight w:val="32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SDN控制器</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应支持SDN控制器。</w:t>
            </w:r>
            <w:r/>
          </w:p>
        </w:tc>
      </w:tr>
      <w:tr>
        <w:trPr>
          <w:trHeight w:val="163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数据中心特性</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17" w:name="OLE_LINK10"/>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bookmarkEnd w:id="17"/>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支持RDMA无损网络，支持BUFFER可视化，支持PFC、ECN，支持AI ECN动态调优，动态调节ECN门限，支持智能识别和分析流量模型，包括TCP流量、UDP流量和全流分析，支持RoCE与TCP流量的按比例调度功能，实现精准流量控制，支持PFC死锁预防。</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可编程</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应支持NETCONF、支持Python、支持Ansible自动化配置。</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MAC地址表</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应支持动态、静态、黑洞MAC地址表项、支持MAC地址自动学习和老化、支持源MAC地址过滤、。</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VLAN</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应支持基于端口、基于协议、基于MAC的VLAN、支持Default VLAN。</w:t>
            </w:r>
            <w:r/>
          </w:p>
        </w:tc>
      </w:tr>
      <w:tr>
        <w:trPr>
          <w:trHeight w:val="109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流量监控</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应支持sFlow/NetStream，支持Telemetry/Telemetry Stream，支持RoCE集群智能运维平台，支持gRPC高速数据主动上报，全网路径主动探测，实时监测网络健康状态。</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ARP</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应支持ARP、RARP、免费ARP、支持Dynamic ARP Inspection、支持ARP源抑制、支持ARP Detection功能。</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IP路由</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应支持静态路由和默认路由、支持RIP、OSPF、BGP、ISIS等IPv4动态路由协议、支持RIPng、OSPFv3、BGP4+、ISISv6等IPv6动态路由协议、支持等价路由、策略路由。</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IPV6特性</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应支持IPv6 ND（Neighbor Discovery）、支持PMTU发现（Path MTU Discovery）、支持ICMPv6、Telnetv6、SFTPv6、SNMPv6、VRRPv3、支持IPv6 Portal和IPv6 Tunnel。</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可靠性</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应支持STP、RSTP、MSTP、支持BPDU保护、根保护、环路保护、支持LACP、支持DLDP、支持M-LAG。</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15</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QoS</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应支持端口收发报文限速、支持ACL、优先级重新标记、队列、支持SP、WRR、WFQ、SP+WRR、SP+WFQ等多种队列调度、支持Layer 2~Layer 4包过滤功能、支持基于源MAC、目的MAC、源IP(IPv4/IPv6)地址、目的IP(IPv4/IPv6)地址、端口、协议、VLAN的流分类、支持流量整形、支持WRED、尾丢弃等拥塞避免机制。</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16</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镜像</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应支持流量镜像、支持N:4端口镜像、支持本地和远程端口镜像ERSPAN。</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安全特性</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应支持用户分级管理和口令保护、支持IP、MAC、端口、VLAN的组合绑定、支持防止ARP、ICMP等攻击、支持IP Source Guard、端口隔离、支持CPU防攻击功能、支持ARP防攻击功能、支持自动防御（ARP/DHCP/ICMP等攻击防御）。</w:t>
            </w:r>
            <w:r/>
          </w:p>
        </w:tc>
      </w:tr>
      <w:tr>
        <w:trPr>
          <w:trHeight w:val="310"/>
        </w:trPr>
        <w:tc>
          <w:tcPr>
            <w:shd w:val="clear" w:color="000000" w:fill="ffffff"/>
            <w:tcW w:w="720"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18</w:t>
            </w:r>
            <w:r/>
          </w:p>
        </w:tc>
        <w:tc>
          <w:tcPr>
            <w:shd w:val="clear" w:color="000000" w:fill="ffffff"/>
            <w:tcW w:w="2088"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管理和维护</w:t>
            </w:r>
            <w:r/>
          </w:p>
        </w:tc>
        <w:tc>
          <w:tcPr>
            <w:shd w:val="clear" w:color="000000" w:fill="ffffff"/>
            <w:tcW w:w="6517"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18" w:name="OLE_LINK1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bookmarkEnd w:id="18"/>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支持Telemetry可视化功能、支持缓存微突发检测、支持零配置Auto-confi</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g和配置回滚、支持命令行接口（CLI）配置、支持通过Console、Telnet、SSH等配置方式、支持RMON （Remote Monitoring）、支持SNMP v1/v2c/v3、支持网管系统、支持Netconf和Python、支持系统日志和用户操作日志、支持分级告警、支持电源、风扇、温度告警功能、支持NTP网络时间协议、支持Jumbo Frame 9216字节、支持Ping、Tracert等调试信息输出、支持FTP、TFTP、USB等方式上传和下载文件、支持全端口独立安全隔离、支持自动化上线部署。</w:t>
            </w:r>
            <w:r/>
          </w:p>
        </w:tc>
      </w:tr>
    </w:tbl>
    <w:p>
      <w:pPr>
        <w:pStyle w:val="920"/>
        <w:numPr>
          <w:ilvl w:val="0"/>
          <w:numId w:val="0"/>
        </w:numPr>
        <w:ind w:firstLine="480"/>
        <w:keepLines w:val="0"/>
        <w:keepNext w:val="0"/>
        <w:pageBreakBefore w:val="0"/>
        <w:spacing w:after="0"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交换机配置三，数量1台：技术要求</w:t>
      </w:r>
      <w:r/>
    </w:p>
    <w:tbl>
      <w:tblPr>
        <w:tblStyle w:val="732"/>
        <w:tblW w:w="9349"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124"/>
        <w:gridCol w:w="6481"/>
      </w:tblGrid>
      <w:tr>
        <w:trPr>
          <w:trHeight w:val="427"/>
        </w:trPr>
        <w:tc>
          <w:tcPr>
            <w:shd w:val="clear" w:color="000000" w:fill="d8d8d8"/>
            <w:tcW w:w="744"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序号</w:t>
            </w:r>
            <w:r/>
          </w:p>
        </w:tc>
        <w:tc>
          <w:tcPr>
            <w:shd w:val="clear" w:color="000000" w:fill="d8d8d8"/>
            <w:tcW w:w="2124"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指标</w:t>
            </w:r>
            <w:r/>
          </w:p>
        </w:tc>
        <w:tc>
          <w:tcPr>
            <w:shd w:val="clear" w:color="000000" w:fill="d8d8d8"/>
            <w:tcW w:w="6481" w:type="dxa"/>
            <w:vAlign w:val="center"/>
            <w:textDirection w:val="lrTb"/>
            <w:noWrap w:val="false"/>
          </w:tcPr>
          <w:p>
            <w:pPr>
              <w:jc w:val="center"/>
              <w:spacing w:after="0" w:line="24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技术要求</w:t>
            </w:r>
            <w:r/>
          </w:p>
        </w:tc>
      </w:tr>
      <w:tr>
        <w:trPr>
          <w:trHeight w:val="32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交换容量</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不小于1.28Tbps（双向）。</w:t>
            </w:r>
            <w:r/>
          </w:p>
        </w:tc>
      </w:tr>
      <w:tr>
        <w:trPr>
          <w:trHeight w:val="32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端口数</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不小于48个1GE电口和4个10GE端口。</w:t>
            </w:r>
            <w:r/>
          </w:p>
        </w:tc>
      </w:tr>
      <w:tr>
        <w:trPr>
          <w:trHeight w:val="32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包转发率</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不小于252Mpps。</w:t>
            </w:r>
            <w:r/>
          </w:p>
        </w:tc>
      </w:tr>
      <w:tr>
        <w:trPr>
          <w:trHeight w:val="32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SDN控制器</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应支持SDN控制器。</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MAC地址表</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应支持动态、静态、黑洞MAC地址表项、支持MAC地址自动学习和老化、支持源MAC地址过滤。</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VLAN</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应支持基于端口、基于协议、基于MAC的VLAN、支持Default VLAN。</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ARP</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应支持ARP、RARP、免费ARP、支持Dynamic ARP Inspection、支持ARP源抑制、支持ARP Detection功能。</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IP路由</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应支持静态路由和默认路由支持RIP、OSPF、BGP、ISIS等IPv4动态路由协议、支持RIPng、OSPFv3、BGP4+、ISISv6等IPv6动态路由协议、支持等价路由、策略路由。</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IPV6特性</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应支持IPv6 ND（Neighbor Discovery）、支持PMTU发现（Path MTU Discovery）、支持ICMPv6、Telnetv6、SNMPv6、VRRPv3、支持IPv6 Portal和IPv6 Tunnel。</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10</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可靠性</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应支持STP、RSTP、MSTP、支持BPDU保护、根保护、环路保护、支持LACP、支持DLDP。</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QoS</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端口收发报文限速、支持ACL、优先级重新标记、队列；支持SP、WRR、WFQ、SP+WRR、SP+WFQ等多种队列调度、支持基于源MAC、目的MAC、源IP(IPv4/IPv6)地址、目的IP(IPv4/IPv6)地址、端口、协议、VLAN的流分类；支持流量整形；支持WRED、尾丢弃等拥塞避免机制。</w:t>
            </w:r>
            <w:r/>
          </w:p>
        </w:tc>
      </w:tr>
      <w:tr>
        <w:trPr>
          <w:trHeight w:val="32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镜像</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应支持流量镜像。</w:t>
            </w:r>
            <w:r/>
          </w:p>
        </w:tc>
      </w:tr>
      <w:tr>
        <w:trPr>
          <w:trHeight w:val="32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流量监控</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应支持sFlow网络监测技术，可提供完整的第二层到第四层信息，可以适应超大网络流量环境下的流量分析。</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14</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安全特性</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应支持用户分级管理和口令保护；支持IP、MAC、端口、VLAN的组合绑定；支持防止ARP、ICMP等攻击；支持IP Source Guard、端口隔离；支持CPU防攻击功能；支持ARP防攻击功能；支持自动防御（ARP/DHCP/ICMP等攻击防御）。</w:t>
            </w:r>
            <w:r/>
          </w:p>
        </w:tc>
      </w:tr>
      <w:tr>
        <w:trPr>
          <w:trHeight w:val="310"/>
        </w:trPr>
        <w:tc>
          <w:tcPr>
            <w:shd w:val="clear" w:color="000000" w:fill="ffffff"/>
            <w:tcW w:w="74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15</w:t>
            </w:r>
            <w:r/>
          </w:p>
        </w:tc>
        <w:tc>
          <w:tcPr>
            <w:shd w:val="clear" w:color="000000" w:fill="ffffff"/>
            <w:tcW w:w="2124" w:type="dxa"/>
            <w:vAlign w:val="center"/>
            <w:textDirection w:val="lrTb"/>
            <w:noWrap w:val="false"/>
          </w:tcPr>
          <w:p>
            <w:pPr>
              <w:jc w:val="cente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管理和维护　</w:t>
            </w:r>
            <w:r/>
          </w:p>
        </w:tc>
        <w:tc>
          <w:tcPr>
            <w:shd w:val="clear" w:color="000000" w:fill="ffffff"/>
            <w:tcW w:w="6481" w:type="dxa"/>
            <w:vAlign w:val="center"/>
            <w:textDirection w:val="lrTb"/>
            <w:noWrap w:val="false"/>
          </w:tcPr>
          <w:p>
            <w:pPr>
              <w:jc w:val="both"/>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应支持命令行接口（CLI）配置；支持通过Console、Telnet、SSH等配置方式；支持RMON（Remote Monitoring）；支持SNMP v1/v2c/v3；支持网管系统；支持系统日志和用户操作日志；支持分级告警；支持电源、风扇、温度告警功能；支持NTP网络时间协议；支持Jumbo Frame 9216字节；支持Ping、Tracert等调试信息输出；支持FTP、TFTP、USB等方式上传和下载文件。</w:t>
            </w:r>
            <w:r/>
          </w:p>
        </w:tc>
      </w:tr>
    </w:tbl>
    <w:p>
      <w:pPr>
        <w:pStyle w:val="919"/>
        <w:ind w:firstLine="482"/>
        <w:spacing w:line="50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注：上述表格中“*”标示的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实质性要求，</w:t>
      </w:r>
      <w:r>
        <w:rPr>
          <w:rFonts w:hint="eastAsia" w:asciiTheme="minorEastAsia" w:hAnsiTheme="minorEastAsia" w:eastAsiaTheme="minorEastAsia"/>
          <w:b/>
          <w:sz w:val="24"/>
          <w:szCs w:val="24"/>
          <w:highlight w:val="none"/>
          <w:lang w:eastAsia="zh-CN"/>
        </w:rPr>
        <w:t xml:space="preserve">必须对此明确响应并完全满足这些要求，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需提供承诺函并加盖投标人公章，否则视为无效投标；</w:t>
      </w:r>
      <w:r/>
    </w:p>
    <w:p>
      <w:pPr>
        <w:pStyle w:val="919"/>
        <w:ind w:firstLine="480"/>
        <w:spacing w:line="50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“▲”标示的为重要参数，</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按表格中的具体要求，</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相对应的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承诺函（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加盖投标人公章）。</w:t>
      </w:r>
      <w:r/>
    </w:p>
    <w:p>
      <w:pPr>
        <w:pStyle w:val="723"/>
        <w:keepLines w:val="0"/>
        <w:keepNext w:val="0"/>
        <w:pageBreakBefore w:val="0"/>
        <w:spacing w:before="0" w:after="0" w:line="480" w:lineRule="exact"/>
        <w:widowControl/>
        <w:rPr>
          <w:rFonts w:hint="eastAsia" w:ascii="宋体" w:hAnsi="宋体" w:eastAsia="宋体" w:cs="宋体"/>
          <w:b/>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三、一般技术要求：</w:t>
      </w:r>
      <w:r/>
    </w:p>
    <w:p>
      <w:pPr>
        <w:pStyle w:val="926"/>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r/>
    </w:p>
    <w:p>
      <w:pPr>
        <w:pStyle w:val="926"/>
        <w:ind w:firstLine="480"/>
        <w:keepLines w:val="0"/>
        <w:keepNext w:val="0"/>
        <w:pageBreakBefore w:val="0"/>
        <w:spacing w:after="0"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投标人本次 AI 算力服务器及相关网络设备招标项目，投标人报价须包含为实现设备正常部署、安装调试及运行所需的全部配件、组网和服务器安装辅料（包括但不限于光模块、MPO光纤、网线、LC-L光纤固定件、电源线等），上述配、安装辅料的供应、运输、仓储及相关服务费用均已含在投标总价中，采购人不再另行支付任何费用</w:t>
      </w:r>
      <w:r>
        <w:rPr>
          <w:rFonts w:hint="eastAsia"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eastAsia="宋体" w:cs="宋体"/>
          <w:b/>
          <w:bCs/>
          <w:color w:val="000000" w:themeColor="text1"/>
          <w:sz w:val="24"/>
          <w:szCs w:val="24"/>
          <w:highlight w:val="none"/>
          <w:lang w:val="en-US" w:eastAsia="zh-CN"/>
          <w14:textFill>
            <w14:solidFill>
              <w14:schemeClr w14:val="tx1"/>
            </w14:solidFill>
          </w14:textFill>
        </w:rPr>
        <w:t xml:space="preserve">本项需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提供承诺函，并加盖投标人公章。</w:t>
      </w:r>
      <w:r/>
    </w:p>
    <w:p>
      <w:pPr>
        <w:pStyle w:val="926"/>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3、投标人必须承诺响应招标文件中提出的全部技术规格与要求，如果以其中某些条款不响应时，应在文件中逐条列出，未列出的视同响应。</w:t>
      </w:r>
      <w:r/>
    </w:p>
    <w:p>
      <w:pPr>
        <w:pStyle w:val="926"/>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4、投标人提供的所有产品的原材、生产、制造、成品质量须满足国家强制性许可规定，各项技术标准应当符合国家（强制性）标准、各项规范要求，国家没有相应标准、规范的，可使用行业标准、规定。</w:t>
      </w:r>
      <w:r/>
    </w:p>
    <w:p>
      <w:pPr>
        <w:pStyle w:val="926"/>
        <w:ind w:firstLine="480"/>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5、投标人提供的产品均为原厂生产的正规合格产品、且必须是全新的、未使用过的、原包装未拆封的商品，其生产厂家、技术规格、参数等完全符合采购文件规定及投标承诺的质量、性能的要求。</w:t>
      </w:r>
      <w:r/>
    </w:p>
    <w:p>
      <w:pPr>
        <w:pStyle w:val="723"/>
        <w:keepLines w:val="0"/>
        <w:keepNext w:val="0"/>
        <w:pageBreakBefore w:val="0"/>
        <w:spacing w:before="0" w:after="0" w:line="480" w:lineRule="exact"/>
        <w:widowControl/>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四、项目商务要求：</w:t>
      </w:r>
      <w:r/>
    </w:p>
    <w:p>
      <w:pPr>
        <w:pStyle w:val="926"/>
        <w:ind w:firstLine="482"/>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交货要求：</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合同签订后1个月内交货至甲方指定地点，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提供承诺函，并加盖投标人公章。</w:t>
      </w:r>
      <w:r/>
    </w:p>
    <w:p>
      <w:pPr>
        <w:pStyle w:val="926"/>
        <w:ind w:firstLine="482"/>
        <w:keepLines w:val="0"/>
        <w:keepNext w:val="0"/>
        <w:pageBreakBefore w:val="0"/>
        <w:spacing w:after="0"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（二）包装和运输要求：</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2.1运输及包装方式的要求：快递或物流，货物全新、未被使用过、出厂检验合格,并提供相关技术资料。设备需采取坚固外包装，适合长途运输，防湿，防潮、防震、防锈，耐粗暴搬运等，以确保设备安全无损运抵甲方指定地点。设备到货时，须确保产品包装完好、所有标识清晰、封条完整。</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2.2随货物必须配备的技术文件清单：产品合格证、使用说明书。</w:t>
      </w:r>
      <w:r/>
    </w:p>
    <w:p>
      <w:pPr>
        <w:pStyle w:val="926"/>
        <w:ind w:firstLine="482"/>
        <w:keepLines w:val="0"/>
        <w:keepNext w:val="0"/>
        <w:pageBreakBefore w:val="0"/>
        <w:spacing w:after="0"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（三）安装调试、试运行和验收：</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3.1验收程序：包括到货验收（开箱验收）和最终验收两个环节。</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3.2试运行：试运行周期不低于 3 个月。</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3.3验收期限：供应商应在到货验收后90天内完成安装、调试，保证具备最终验收条件。具体履约验收按照附件：货物类项目履约验收方案验收。</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3.4参与人员：采购人和（或）其代表、供应商代表、第三方机构（如需要）。</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3.5相关要求：</w:t>
      </w:r>
      <w:r/>
    </w:p>
    <w:p>
      <w:pPr>
        <w:pStyle w:val="919"/>
        <w:ind w:firstLine="24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（1）供应商应须提供全套设备的安装调试及验收实施方案；</w:t>
      </w:r>
      <w:r/>
    </w:p>
    <w:p>
      <w:pPr>
        <w:pStyle w:val="919"/>
        <w:ind w:firstLine="24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（2）如果任何被检验或测试的货物不能满足规格的要求，采购人可以拒绝接受该货物，供应商应更换被拒绝的货物，或者免费进行必要的修改以满足规格的要求。</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3.6对技术文件及图纸的其他要求：无。</w:t>
      </w:r>
      <w:r/>
    </w:p>
    <w:p>
      <w:pPr>
        <w:pStyle w:val="926"/>
        <w:ind w:firstLine="482"/>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（四）项目实施要求：</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4.1项目技术方案</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包括集群架构设计方案、网络拓扑方案、运维方案、故障响应售后方案和技术培训方案。</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（1）集群架构设计方案：提供人工智能算力集群整体解决方案的设计思路，包括项目建设目标、建设原则、建设内容、建设计划、详细建设方案等内容。</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（2）网络拓扑方案：提供人工智能算力集群的网络拓扑，包括计算资源、存储资源（如有）、网络资源等的整体设计及网络拓扑方案。</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（3）运维方案：提供人工智能算力集群的运维方案，包括AI算力服务器、网络资源的运维管理工作，涉及日常运维操作、配置和数据备份、日志导出管理等内容。</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（4）故障响应售后方案：提供人工智能算力集群的故障响应售后方案，包括软硬件设备质保范围、故障处理流程、技术服务支持等内容。</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（5）技术培训方案：提供人工智能算力集群的技术培训方案，包括AI算力服务器（含软硬件）的使用方法、日常维护、一般常见故障的诊断排除措施等。</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4.2项目实施方案及进度保障措施</w:t>
      </w:r>
      <w:r/>
    </w:p>
    <w:p>
      <w:pPr>
        <w:pStyle w:val="926"/>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包括施工进度规划、施工组织方案、工期保证措施、规避及降低风险措施和人员部署及分工。</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（1）施工进度规划：提供人工智能算力集群的施工进度规划，包括各个重要里程碑及时间计划。</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（2）施工组织方案：提供人工智能算力集群的施工组织方案，包括各个阶段的工作内容及人员投入情况。</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（3）工期保证措施：提供人工智能算力集群建设的项目保障措施，确保项目顺利进行。</w:t>
      </w:r>
      <w:r/>
    </w:p>
    <w:p>
      <w:pPr>
        <w:pStyle w:val="926"/>
        <w:ind w:firstLine="480"/>
        <w:keepLines w:val="0"/>
        <w:keepNext w:val="0"/>
        <w:pageBreakBefore w:val="0"/>
        <w:spacing w:after="0" w:line="480" w:lineRule="exact"/>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（4）规避及降低风险措施：提供人工智能算力集群的风险管理及应急预案，确保项目风险可控条件下，可顺利推进项目执行。</w:t>
      </w:r>
      <w:r/>
    </w:p>
    <w:p>
      <w:pPr>
        <w:pStyle w:val="926"/>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（5）人员部署及分工：提供本项目的人员投入情况及工作分工情况。</w:t>
      </w:r>
      <w:r/>
    </w:p>
    <w:p>
      <w:pPr>
        <w:ind w:firstLine="482"/>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（五）人员要求及服务技术支持</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5.1人员要求：为本项目提供明确的专业服务团队人员名单，其中项目负责人1名，技术人员不少于4名，应具有相应的专业资格、能力和经验。</w:t>
      </w:r>
      <w:r/>
    </w:p>
    <w:p>
      <w:pPr>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项目负责人：1名，投标人须为项目负责人缴纳正规社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 管理项目风险、沟通和报告。项目负责人配备项目管理师、信息系统项目管理师或系统集成项目管理工程师证书。</w:t>
      </w:r>
      <w:r/>
    </w:p>
    <w:p>
      <w:pPr>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技术人员：不少于4名，投标人须为技术人员缴纳正规社保。要求经验丰富的专业人员，作为整个项目具体实施者。主要负责项目交付，包括但不限于服务器设备上架、操作系统安装、GPU驱动软件安装、网络环境搭建、系统网络调试、AI大模型部署、AI大模型推理性能调优等工作。</w:t>
      </w:r>
      <w:r/>
    </w:p>
    <w:p>
      <w:pPr>
        <w:pStyle w:val="926"/>
        <w:ind w:firstLine="482"/>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（六）产品质保与售后服务：</w:t>
      </w:r>
      <w:r/>
    </w:p>
    <w:p>
      <w:pPr>
        <w:pStyle w:val="919"/>
        <w:ind w:firstLine="72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6.1</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供应商应保证合同项下所供货物是全新的、未使用过的，是最新或目前的型号，除非合同另有规定，货物应含有设计上和材料的全部最新改进，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提供承诺函，并加盖投标人公章。</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6.2</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免费质保期，不少于3年，设备停产后继续提供质量保障服务（含备品备件），服务终止时间与最后一批设备交付时间间隔不低于6年；产品停止服务时间应提前1年告知客户。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需提供承诺函，并加盖投标人公章。</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6.3</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免费质保期结束后，每年维保费用不超过设备采购费用的10%，</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需提供承诺函，并加盖投标人公章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6.4</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质保期内提供技术支持、维修、设备/部件的更换或退货（除人为损坏或运维不善导致的设备/部件损坏、以及其他由于机房环境导致的设备/部件损坏以外原因）、软件更新等，费用包含在投标报价内。在质保期内，应通知和协助用户进行已运行系统的运行维护和改进提高，并无偿提供软件的安装、部署、新版本升级、性能优化、应用部署等工作。应确保一体机软件中各项功能、服务、工具等满足应用需求，并按照采购人要求在质保期内进行修改和调整，同时提供数据服务的定制开发。免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所提供的产品进行巡检，巡检周期不长于3个月。故障和问题响应时间不超过2小时；提出解决方案不超过24小时；到达现场（如需）时间不超过24小时；排除故障解决问题不超过3个工作日。投标人应在故障问题解决后24小时内，提交问题处理报告，说明问题种类、问题原因、问题解决中使用的方法及造成的损失等情况。向采购人免费提供电话、E-Mail和Internet网站技术支持方式，并应建立提供专门的服务号码和账户，必须向用户单位提供7×24小时授权工程师电话响应服务。能够在互联网站上查询、下载相关技术资料、提交问题并获得支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针对以上全部内容，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提供具体的售后运维服务承诺函，并加盖投标人公章。</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6.5其他要求：见招标文件第六部分合同格式中的条款内容。</w:t>
      </w:r>
      <w:r/>
    </w:p>
    <w:p>
      <w:pPr>
        <w:pStyle w:val="919"/>
        <w:ind w:firstLine="720"/>
        <w:keepLines w:val="0"/>
        <w:keepNext w:val="0"/>
        <w:pageBreakBefore w:val="0"/>
        <w:spacing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6.6备品、配件、耗材等相关要求：供应商应具有至少5年的备品配件耗材供应期。</w:t>
      </w:r>
      <w:r/>
    </w:p>
    <w:p>
      <w:pPr>
        <w:pStyle w:val="926"/>
        <w:ind w:firstLine="482"/>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（七）人员培训服务：</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7.1培训地点：在项目现场为采购人提供技术培训。</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7.2培训目标：甲方工作人员完全掌握设备的使用和基础维护修理的技术/原理/方法。</w:t>
      </w:r>
      <w:r/>
    </w:p>
    <w:p>
      <w:pPr>
        <w:pStyle w:val="919"/>
        <w:ind w:firstLine="72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7.3培训内容：</w:t>
      </w:r>
      <w:r/>
    </w:p>
    <w:p>
      <w:pPr>
        <w:pStyle w:val="919"/>
        <w:ind w:firstLine="720"/>
        <w:keepLines w:val="0"/>
        <w:keepNext w:val="0"/>
        <w:pageBreakBefore w:val="0"/>
        <w:spacing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至少包括AI算力服务器（含软硬件）的工作原理、使用方法、日常维护、一般常见故障的诊断排除措施等，培训时需提供完整的中文培训资料，包括使用说明书、设备组网图、操作流程、注意事项、安装调试方法和维修指南等。</w:t>
      </w:r>
      <w:r/>
    </w:p>
    <w:p>
      <w:pPr>
        <w:pStyle w:val="926"/>
        <w:ind w:firstLine="482"/>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（八）付款方式：</w:t>
      </w:r>
      <w:r/>
    </w:p>
    <w:p>
      <w:pPr>
        <w:pStyle w:val="919"/>
        <w:ind w:firstLine="720"/>
        <w:keepLines w:val="0"/>
        <w:keepNext w:val="0"/>
        <w:pageBreakBefore w:val="0"/>
        <w:spacing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8.1第一期付款(首付款)：落实《关于做好政府采购支持企业发展有关事项的通知》(苏财购(2020)52号)文件要求，合同签订后甲方收到乙方提交的下列（1）项文件后的三十(30)个工作日内以电汇的方式向乙方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预付</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相当于本合同总价50%的首付款。</w:t>
      </w:r>
      <w:r/>
    </w:p>
    <w:p>
      <w:pPr>
        <w:pStyle w:val="919"/>
        <w:ind w:firstLine="720"/>
        <w:keepLines w:val="0"/>
        <w:keepNext w:val="0"/>
        <w:pageBreakBefore w:val="0"/>
        <w:spacing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bookmarkStart w:id="19" w:name="OLE_LINK15"/>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（1）</w:t>
      </w:r>
      <w:bookmarkEnd w:id="19"/>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乙方按照本次付款金额向甲方开具的中国税务机关监制/认可的发票。</w:t>
      </w:r>
      <w:r/>
    </w:p>
    <w:p>
      <w:pPr>
        <w:pStyle w:val="919"/>
        <w:ind w:firstLine="720"/>
        <w:keepLines w:val="0"/>
        <w:keepNext w:val="0"/>
        <w:pageBreakBefore w:val="0"/>
        <w:spacing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8.2第二期付款(初验付款)：甲方将在AI算力服务器到货验收通过后的九十(90)天内在收到乙方提交的下列（1）项文件后的三十(30)个工作日内以电汇的方式向乙方支付相当于本合同总价30%的验收付款。</w:t>
      </w:r>
      <w:r/>
    </w:p>
    <w:p>
      <w:pPr>
        <w:pStyle w:val="919"/>
        <w:ind w:firstLine="720"/>
        <w:keepLines w:val="0"/>
        <w:keepNext w:val="0"/>
        <w:pageBreakBefore w:val="0"/>
        <w:spacing w:line="480" w:lineRule="exact"/>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（1）乙方按照本次付款金额向甲方开具的中国税务机关监制/认可的发票。</w:t>
      </w:r>
      <w:r/>
    </w:p>
    <w:p>
      <w:pPr>
        <w:pStyle w:val="746"/>
        <w:ind w:firstLine="720"/>
        <w:keepLines w:val="0"/>
        <w:keepNext w:val="0"/>
        <w:pageBreakBefore w:val="0"/>
        <w:spacing w:after="0" w:line="480" w:lineRule="exact"/>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8.3第三期付款(终验付款)：项目完成各项工作并向甲方提交所有成果，通过甲方组织的验收后，甲方将在验收合格后收到乙方提交的下列（1）、（2）项文件后的九十(90)天内以电汇的方式向乙方支付相</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当于本合同总价20%的验收付款。</w:t>
      </w:r>
      <w:r/>
    </w:p>
    <w:p>
      <w:pPr>
        <w:pStyle w:val="746"/>
        <w:ind w:firstLine="480"/>
        <w:keepLines w:val="0"/>
        <w:keepNext w:val="0"/>
        <w:pageBreakBefore w:val="0"/>
        <w:spacing w:after="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（1）甲方签发的《验收合格证书》或双方其他关于AI算力服务器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部分或全部的确认文件;</w:t>
      </w:r>
      <w:r/>
    </w:p>
    <w:p>
      <w:pPr>
        <w:pStyle w:val="746"/>
        <w:ind w:firstLine="480"/>
        <w:keepLines w:val="0"/>
        <w:keepNext w:val="0"/>
        <w:pageBreakBefore w:val="0"/>
        <w:spacing w:after="0"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（2）乙方按照本次付款金额向甲方开具的中国税务机关监制/认可的发票。</w:t>
      </w:r>
      <w:r/>
    </w:p>
    <w:p>
      <w:pPr>
        <w:pStyle w:val="723"/>
        <w:keepLines w:val="0"/>
        <w:keepNext w:val="0"/>
        <w:pageBreakBefore w:val="0"/>
        <w:spacing w:before="0" w:after="0" w:line="480" w:lineRule="exact"/>
        <w:widowControl/>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五、报价要求：</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bookmarkStart w:id="20" w:name="OLE_LINK16"/>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20"/>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投标报价一次报定，投标总价不高于采购预算的为有效投标报价，否则为无效投标报价</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无效投标报价的投标文件不进行评审，也不得标。</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2、投标人应以人民币对全部采购项目进行报价，只对其中部分内容或出现选择性报价者，其报价将被拒绝。</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投标人报价已充分考虑项目完成的政策性调整、各种市场价格的浮动等因素造成的价格变动，项目完成期内的合同价格不作调整。</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4、投标总报价包括完成本项目所需的全部硬件设备、辅材、线材、配件、操作系统、安装、调试等费用，项目交付及质保期内费用，及合同包含的所有各项应有费用。</w:t>
      </w:r>
      <w:r/>
    </w:p>
    <w:p>
      <w:pPr>
        <w:pStyle w:val="723"/>
        <w:keepLines w:val="0"/>
        <w:keepNext w:val="0"/>
        <w:pageBreakBefore w:val="0"/>
        <w:spacing w:before="0" w:after="0" w:line="480" w:lineRule="exact"/>
        <w:widowControl/>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六、其他说明：</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bookmarkStart w:id="21" w:name="OLE_LINK17"/>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2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针对“★”条款的要求（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共6处</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）投标人须提供承诺函并加盖公章，否则视为无效投标。</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2、投标人对采购人的重大事件和重大活动提供技术支持和现场保障服务。</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3、投标人若不如实填写技术指标的，一经发现将作无效标处理。</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4、投标人对服务缺陷不予更正，采购人有权另请其他单位更正，所发生的费用在履约保证金中扣除。</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5、投标人有责任配合采购人接受上级领导部门的监督、检查，提供必须的资料。</w:t>
      </w:r>
      <w:r/>
    </w:p>
    <w:p>
      <w:pPr>
        <w:pStyle w:val="919"/>
        <w:ind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投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p>
    <w:p>
      <w:pPr>
        <w:pStyle w:val="919"/>
        <w:ind w:firstLine="480"/>
        <w:keepLines w:val="0"/>
        <w:keepNext w:val="0"/>
        <w:pageBreakBefore w:val="0"/>
        <w:spacing w:line="4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7、采购人不接受投标人任何因遗漏报价而发生的费用追加，因投标人违反法律法规而造成采购人的连带责任和损失全部由中标人承担。</w:t>
      </w:r>
      <w:r/>
    </w:p>
    <w:p>
      <w:pPr>
        <w:pStyle w:val="723"/>
        <w:keepLines w:val="0"/>
        <w:keepNext w:val="0"/>
        <w:pageBreakBefore w:val="0"/>
        <w:spacing w:before="0" w:after="0" w:line="480" w:lineRule="exact"/>
        <w:widowControl/>
        <w:rPr>
          <w:rStyle w:val="766"/>
          <w:rFonts w:hint="eastAsia" w:ascii="宋体" w:hAnsi="宋体" w:eastAsia="宋体" w:cs="宋体"/>
          <w:b w:val="0"/>
          <w:bCs/>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b w:val="0"/>
          <w:bCs/>
          <w:color w:val="000000" w:themeColor="text1"/>
          <w:sz w:val="24"/>
          <w:szCs w:val="24"/>
          <w:highlight w:val="none"/>
          <w:shd w:val="clear" w:color="auto" w:fill="ffffff"/>
          <w:lang w:eastAsia="zh-CN"/>
          <w14:textFill>
            <w14:solidFill>
              <w14:schemeClr w14:val="tx1"/>
            </w14:solidFill>
          </w14:textFill>
        </w:rPr>
        <w:t xml:space="preserve">七、凡涉及招标文件的补充说明和修改，均以苏州政府采购网、江苏省政府采购网发布的内容为准。</w:t>
      </w:r>
      <w:r/>
    </w:p>
    <w:p>
      <w:pPr>
        <w:spacing w:after="0" w:line="240" w:lineRule="auto"/>
        <w:rPr>
          <w:rFonts w:eastAsia="宋体"/>
          <w:color w:val="000000" w:themeColor="text1"/>
          <w:highlight w:val="none"/>
          <w:lang w:eastAsia="zh-CN"/>
          <w14:textFill>
            <w14:solidFill>
              <w14:schemeClr w14:val="tx1"/>
            </w14:solidFill>
          </w14:textFill>
        </w:rPr>
      </w:pPr>
      <w:r>
        <w:rPr>
          <w:rFonts w:eastAsia="宋体"/>
          <w:color w:val="000000" w:themeColor="text1"/>
          <w:highlight w:val="none"/>
          <w:lang w:eastAsia="zh-CN"/>
          <w14:textFill>
            <w14:solidFill>
              <w14:schemeClr w14:val="tx1"/>
            </w14:solidFill>
          </w14:textFill>
        </w:rPr>
        <w:br w:type="page" w:clear="all"/>
      </w:r>
      <w:r/>
    </w:p>
    <w:p>
      <w:pPr>
        <w:pStyle w:val="761"/>
        <w:jc w:val="center"/>
        <w:spacing w:line="360" w:lineRule="auto"/>
        <w:rPr>
          <w:rFonts w:ascii="仿宋" w:hAnsi="仿宋" w:eastAsia="仿宋" w:cs="仿宋"/>
          <w:color w:val="000000" w:themeColor="text1"/>
          <w:sz w:val="36"/>
          <w:szCs w:val="36"/>
          <w:highlight w:val="none"/>
          <w:shd w:val="clear" w:color="auto" w:fill="ffffff"/>
          <w14:textFill>
            <w14:solidFill>
              <w14:schemeClr w14:val="tx1"/>
            </w14:solidFill>
          </w14:textFill>
        </w:rPr>
        <w:outlineLvl w:val="2"/>
      </w:pPr>
      <w:r>
        <w:rPr>
          <w:rFonts w:hint="eastAsia" w:ascii="仿宋" w:hAnsi="仿宋" w:eastAsia="仿宋" w:cs="仿宋"/>
          <w:color w:val="000000" w:themeColor="text1"/>
          <w:sz w:val="36"/>
          <w:szCs w:val="36"/>
          <w:highlight w:val="none"/>
          <w:shd w:val="clear" w:color="auto" w:fill="ffffff"/>
          <w14:textFill>
            <w14:solidFill>
              <w14:schemeClr w14:val="tx1"/>
            </w14:solidFill>
          </w14:textFill>
        </w:rPr>
        <w:t xml:space="preserve">附件1：货物类项目履约验收方案</w:t>
      </w:r>
      <w:r/>
    </w:p>
    <w:p>
      <w:pPr>
        <w:pStyle w:val="926"/>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一、项目概况</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项目编号：</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项目名称：</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供应商名称：</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合同金额：</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验收主体：</w:t>
      </w:r>
      <w:r/>
    </w:p>
    <w:p>
      <w:pPr>
        <w:pStyle w:val="926"/>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二、验收目的</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26"/>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三、验收依据</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26"/>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四、验收责任主体</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26"/>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五、验收方式及验收内容</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5.1日常考核</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5.2检测(检验)验收</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5.2.4对检验结果存在异议时，启用备样检验，相关费用由异议提出方承担。</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5.2.5实施检验检测所造成的产品损坏、损耗，其替换补充或维修费用由供应商承担。</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926"/>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5.3最终验收</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5.3.1验收准备</w:t>
      </w:r>
      <w:r/>
    </w:p>
    <w:p>
      <w:pPr>
        <w:pStyle w:val="926"/>
        <w:ind w:firstLine="480"/>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color w:val="000000" w:themeColor="text1"/>
          <w:sz w:val="24"/>
          <w:szCs w:val="24"/>
          <w:highlight w:val="none"/>
          <w:lang w:eastAsia="zh-CN"/>
          <w14:textFill>
            <w14:solidFill>
              <w14:schemeClr w14:val="tx1"/>
            </w14:solidFill>
          </w14:textFill>
        </w:rPr>
        <w:t xml:space="preserve">供应商在收到催告后五个工作日内拒不配合的，采购人应依照合同约定追究其责任。</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5.3.1.2供应商应当配合采购人、采购代理机构做好项目验收工作，及时提供与项目验收相关的生产、技术、服务、数量、质量、安全、合格证明及验收所必须具备的其他材料。</w:t>
      </w:r>
      <w:r/>
    </w:p>
    <w:p>
      <w:pPr>
        <w:pStyle w:val="926"/>
        <w:ind w:firstLine="480"/>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5.3.1.3采购人应及时全面准备验收，</w:t>
      </w:r>
      <w:r>
        <w:rPr>
          <w:rFonts w:hint="eastAsia" w:hAnsi="宋体" w:eastAsia="宋体" w:cs="宋体"/>
          <w:b/>
          <w:bCs/>
          <w:color w:val="000000" w:themeColor="text1"/>
          <w:sz w:val="24"/>
          <w:szCs w:val="24"/>
          <w:highlight w:val="none"/>
          <w:lang w:eastAsia="zh-CN"/>
          <w14:textFill>
            <w14:solidFill>
              <w14:schemeClr w14:val="tx1"/>
            </w14:solidFill>
          </w14:textFill>
        </w:rPr>
        <w:t xml:space="preserve">自收到验收申请之日起五个工作日内做好通水、通电、准备验收工具等必要的验收准备工作、启动项目验收、通知供应商。</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5.3.2验收小组</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5.3.3参与验收人员</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5.3.3.1技术复杂或专业性强的政府采购项目，可以邀请有资质的第三方专业机构参加验收并出具专业意见。</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5.3.3.2对于采购人和使用人分离的采购项目，采购人或其委托的采购代理机构应当邀请实际使用人参与验收。</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5.3.3.1政府向社会公众提供的公共服务项目，验收时应当邀请服务对象进行公共服务项目满意度评价，评价结果作为履约验收的参考依据。</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5.3.4验收内容</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5.3.4.2交付验收标准适用标准为：</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①按照现行国家标准执行，无国家标准的，按行业标准执行，无国家和行业标准的，按企业标准执行，并且应符合相关法律、法规规定的要求；</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②采购文件所列的各项要求、采购合同、供应商在投标（响应）文件中承诺的质量技术指标。</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5.3.5验收记录</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5.3.5.1验收小组应当要求参与验收的供应商、专业机构、专家和服务对象等出具书面意见，作为验收书的重要组成部分。</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六、验收结果</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26"/>
        <w:ind w:firstLine="482"/>
        <w:spacing w:after="0" w:line="440" w:lineRule="exact"/>
        <w:rPr>
          <w:rFonts w:hAnsi="宋体" w:eastAsia="宋体" w:cs="宋体"/>
          <w:b/>
          <w:bCs/>
          <w:color w:val="000000" w:themeColor="text1"/>
          <w:sz w:val="24"/>
          <w:szCs w:val="24"/>
          <w:highlight w:val="none"/>
          <w:lang w:eastAsia="zh-CN"/>
          <w14:textFill>
            <w14:solidFill>
              <w14:schemeClr w14:val="tx1"/>
            </w14:solidFill>
          </w14:textFill>
        </w:rPr>
      </w:pPr>
      <w:r>
        <w:rPr>
          <w:rFonts w:hint="eastAsia" w:hAnsi="宋体" w:eastAsia="宋体" w:cs="宋体"/>
          <w:b/>
          <w:bCs/>
          <w:color w:val="000000" w:themeColor="text1"/>
          <w:sz w:val="24"/>
          <w:szCs w:val="24"/>
          <w:highlight w:val="none"/>
          <w:lang w:eastAsia="zh-CN"/>
          <w14:textFill>
            <w14:solidFill>
              <w14:schemeClr w14:val="tx1"/>
            </w14:solidFill>
          </w14:textFill>
        </w:rPr>
        <w:t xml:space="preserve">七、验收资料归档</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int="eastAsia" w:hAnsi="宋体" w:eastAsia="宋体" w:cs="宋体"/>
          <w:color w:val="000000" w:themeColor="text1"/>
          <w:sz w:val="24"/>
          <w:szCs w:val="24"/>
          <w:highlight w:val="none"/>
          <w:lang w:eastAsia="zh-CN"/>
          <w14:textFill>
            <w14:solidFill>
              <w14:schemeClr w14:val="tx1"/>
            </w14:solidFill>
          </w14:textFill>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Ansi="宋体" w:eastAsia="宋体" w:cs="宋体"/>
          <w:color w:val="000000" w:themeColor="text1"/>
          <w:sz w:val="24"/>
          <w:szCs w:val="24"/>
          <w:highlight w:val="none"/>
          <w:lang w:eastAsia="zh-CN"/>
          <w14:textFill>
            <w14:solidFill>
              <w14:schemeClr w14:val="tx1"/>
            </w14:solidFill>
          </w14:textFill>
        </w:rPr>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Ansi="宋体" w:eastAsia="宋体" w:cs="宋体"/>
          <w:color w:val="000000" w:themeColor="text1"/>
          <w:sz w:val="24"/>
          <w:szCs w:val="24"/>
          <w:highlight w:val="none"/>
          <w:lang w:eastAsia="zh-CN"/>
          <w14:textFill>
            <w14:solidFill>
              <w14:schemeClr w14:val="tx1"/>
            </w14:solidFill>
          </w14:textFill>
        </w:rPr>
      </w:r>
      <w:r/>
    </w:p>
    <w:p>
      <w:pPr>
        <w:pStyle w:val="926"/>
        <w:ind w:firstLine="480"/>
        <w:spacing w:after="0" w:line="440" w:lineRule="exact"/>
        <w:rPr>
          <w:rFonts w:hAnsi="宋体" w:eastAsia="宋体" w:cs="宋体"/>
          <w:color w:val="000000" w:themeColor="text1"/>
          <w:sz w:val="24"/>
          <w:szCs w:val="24"/>
          <w:highlight w:val="none"/>
          <w:lang w:eastAsia="zh-CN"/>
          <w14:textFill>
            <w14:solidFill>
              <w14:schemeClr w14:val="tx1"/>
            </w14:solidFill>
          </w14:textFill>
        </w:rPr>
      </w:pPr>
      <w:r>
        <w:rPr>
          <w:rFonts w:hAnsi="宋体" w:eastAsia="宋体" w:cs="宋体"/>
          <w:color w:val="000000" w:themeColor="text1"/>
          <w:sz w:val="24"/>
          <w:szCs w:val="24"/>
          <w:highlight w:val="none"/>
          <w:lang w:eastAsia="zh-CN"/>
          <w14:textFill>
            <w14:solidFill>
              <w14:schemeClr w14:val="tx1"/>
            </w14:solidFill>
          </w14:textFill>
        </w:rPr>
      </w:r>
      <w:r/>
    </w:p>
    <w:p>
      <w:pPr>
        <w:pStyle w:val="761"/>
        <w:jc w:val="center"/>
        <w:spacing w:line="360" w:lineRule="auto"/>
        <w:rPr>
          <w:rFonts w:ascii="仿宋" w:hAnsi="仿宋" w:eastAsia="仿宋" w:cs="仿宋"/>
          <w:color w:val="000000" w:themeColor="text1"/>
          <w:sz w:val="36"/>
          <w:szCs w:val="36"/>
          <w:highlight w:val="none"/>
          <w:shd w:val="clear" w:color="auto" w:fill="ffffff"/>
          <w14:textFill>
            <w14:solidFill>
              <w14:schemeClr w14:val="tx1"/>
            </w14:solidFill>
          </w14:textFill>
        </w:rPr>
        <w:outlineLvl w:val="2"/>
      </w:pPr>
      <w:r>
        <w:rPr>
          <w:rFonts w:hint="eastAsia" w:ascii="仿宋" w:hAnsi="仿宋" w:eastAsia="仿宋" w:cs="仿宋"/>
          <w:color w:val="000000" w:themeColor="text1"/>
          <w:sz w:val="36"/>
          <w:szCs w:val="36"/>
          <w:highlight w:val="none"/>
          <w:shd w:val="clear" w:color="auto" w:fill="ffffff"/>
          <w14:textFill>
            <w14:solidFill>
              <w14:schemeClr w14:val="tx1"/>
            </w14:solidFill>
          </w14:textFill>
        </w:rPr>
        <w:t xml:space="preserve">政府采购履约验收书(货物类）</w:t>
      </w:r>
      <w:r/>
    </w:p>
    <w:tbl>
      <w:tblPr>
        <w:tblStyle w:val="732"/>
        <w:tblpPr w:horzAnchor="page" w:tblpX="1419" w:vertAnchor="text" w:tblpY="904" w:leftFromText="180" w:topFromText="0" w:rightFromText="180" w:bottomFromText="0"/>
        <w:tblW w:w="924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32"/>
        <w:gridCol w:w="960"/>
        <w:gridCol w:w="1092"/>
        <w:gridCol w:w="1332"/>
        <w:gridCol w:w="942"/>
        <w:gridCol w:w="1025"/>
        <w:gridCol w:w="19"/>
        <w:gridCol w:w="1080"/>
        <w:gridCol w:w="483"/>
        <w:gridCol w:w="1276"/>
      </w:tblGrid>
      <w:tr>
        <w:trPr>
          <w:trHeight w:val="514"/>
        </w:trPr>
        <w:tc>
          <w:tcPr>
            <w:tcW w:w="103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eastAsia="宋体" w:cs="宋体"/>
                <w:color w:val="000000" w:themeColor="text1"/>
                <w:sz w:val="18"/>
                <w:szCs w:val="18"/>
                <w:highlight w:val="none"/>
                <w:lang w:bidi="ar"/>
                <w14:textFill>
                  <w14:solidFill>
                    <w14:schemeClr w14:val="tx1"/>
                  </w14:solidFill>
                </w14:textFill>
              </w:rPr>
              <w:t xml:space="preserve">采</w:t>
            </w:r>
            <w:r>
              <w:rPr>
                <w:rFonts w:hint="eastAsia" w:ascii="宋体" w:hAnsi="宋体" w:cs="宋体"/>
                <w:color w:val="000000" w:themeColor="text1"/>
                <w:sz w:val="18"/>
                <w:szCs w:val="18"/>
                <w:highlight w:val="none"/>
                <w:lang w:bidi="ar"/>
                <w14:textFill>
                  <w14:solidFill>
                    <w14:schemeClr w14:val="tx1"/>
                  </w14:solidFill>
                </w14:textFill>
              </w:rPr>
              <w:t xml:space="preserve">购人</w:t>
            </w:r>
            <w:r/>
          </w:p>
        </w:tc>
        <w:tc>
          <w:tcPr>
            <w:gridSpan w:val="2"/>
            <w:tcW w:w="205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W w:w="133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项目名称</w:t>
            </w:r>
            <w:r/>
          </w:p>
        </w:tc>
        <w:tc>
          <w:tcPr>
            <w:gridSpan w:val="3"/>
            <w:tcW w:w="1986"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W w:w="1080"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合同名称</w:t>
            </w:r>
            <w:r/>
          </w:p>
        </w:tc>
        <w:tc>
          <w:tcPr>
            <w:gridSpan w:val="2"/>
            <w:tcW w:w="1759"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565"/>
        </w:trPr>
        <w:tc>
          <w:tcPr>
            <w:tcW w:w="1032"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供应商</w:t>
            </w:r>
            <w:r/>
          </w:p>
        </w:tc>
        <w:tc>
          <w:tcPr>
            <w:gridSpan w:val="2"/>
            <w:tcW w:w="2052"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W w:w="1332"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项目及合同编号</w:t>
            </w:r>
            <w:r/>
          </w:p>
        </w:tc>
        <w:tc>
          <w:tcPr>
            <w:gridSpan w:val="3"/>
            <w:tcW w:w="1986"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W w:w="1080"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合同金额</w:t>
            </w:r>
            <w:r/>
          </w:p>
        </w:tc>
        <w:tc>
          <w:tcPr>
            <w:gridSpan w:val="2"/>
            <w:tcW w:w="1759"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565"/>
        </w:trPr>
        <w:tc>
          <w:tcPr>
            <w:tcW w:w="1032" w:type="dxa"/>
            <w:vAlign w:val="center"/>
            <w:textDirection w:val="lrTb"/>
            <w:noWrap w:val="false"/>
          </w:tcPr>
          <w:p>
            <w:pPr>
              <w:jc w:val="center"/>
              <w:spacing w:line="34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分期（段）验收</w:t>
            </w:r>
            <w:r/>
          </w:p>
        </w:tc>
        <w:tc>
          <w:tcPr>
            <w:gridSpan w:val="2"/>
            <w:tcW w:w="2052" w:type="dxa"/>
            <w:vAlign w:val="center"/>
            <w:textDirection w:val="lrTb"/>
            <w:noWrap w:val="false"/>
          </w:tcPr>
          <w:p>
            <w:pPr>
              <w:jc w:val="center"/>
              <w:spacing w:line="34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是□   否□</w:t>
            </w:r>
            <w:r/>
          </w:p>
        </w:tc>
        <w:tc>
          <w:tcPr>
            <w:tcW w:w="1332" w:type="dxa"/>
            <w:vAlign w:val="center"/>
            <w:textDirection w:val="lrTb"/>
            <w:noWrap w:val="false"/>
          </w:tcPr>
          <w:p>
            <w:pPr>
              <w:jc w:val="center"/>
              <w:spacing w:line="34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分期（段）情况</w:t>
            </w:r>
            <w:r/>
          </w:p>
        </w:tc>
        <w:tc>
          <w:tcPr>
            <w:gridSpan w:val="6"/>
            <w:tcW w:w="4825" w:type="dxa"/>
            <w:vAlign w:val="center"/>
            <w:textDirection w:val="lrTb"/>
            <w:noWrap w:val="false"/>
          </w:tcPr>
          <w:p>
            <w:pPr>
              <w:jc w:val="center"/>
              <w:spacing w:line="34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共分   期（段），此为第   期（段）验收</w:t>
            </w:r>
            <w:r/>
          </w:p>
        </w:tc>
      </w:tr>
      <w:tr>
        <w:trPr>
          <w:trHeight w:val="596"/>
        </w:trPr>
        <w:tc>
          <w:tcPr>
            <w:tcW w:w="1032" w:type="dxa"/>
            <w:vAlign w:val="center"/>
            <w:textDirection w:val="lrTb"/>
            <w:noWrap w:val="false"/>
          </w:tcPr>
          <w:p>
            <w:pPr>
              <w:jc w:val="center"/>
              <w:spacing w:line="3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验收时间</w:t>
            </w:r>
            <w:r/>
          </w:p>
        </w:tc>
        <w:tc>
          <w:tcPr>
            <w:gridSpan w:val="2"/>
            <w:tcW w:w="2052" w:type="dxa"/>
            <w:vAlign w:val="center"/>
            <w:textDirection w:val="lrTb"/>
            <w:noWrap w:val="false"/>
          </w:tcPr>
          <w:p>
            <w:pPr>
              <w:jc w:val="center"/>
              <w:spacing w:line="36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W w:w="1332" w:type="dxa"/>
            <w:vAlign w:val="center"/>
            <w:textDirection w:val="lrTb"/>
            <w:noWrap w:val="false"/>
          </w:tcPr>
          <w:p>
            <w:pPr>
              <w:jc w:val="center"/>
              <w:spacing w:line="3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验收地点</w:t>
            </w:r>
            <w:r/>
          </w:p>
        </w:tc>
        <w:tc>
          <w:tcPr>
            <w:gridSpan w:val="3"/>
            <w:tcW w:w="1986" w:type="dxa"/>
            <w:vAlign w:val="center"/>
            <w:textDirection w:val="lrTb"/>
            <w:noWrap w:val="false"/>
          </w:tcPr>
          <w:p>
            <w:pPr>
              <w:jc w:val="center"/>
              <w:spacing w:line="36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c>
          <w:tcPr>
            <w:tcW w:w="1080" w:type="dxa"/>
            <w:vAlign w:val="center"/>
            <w:textDirection w:val="lrTb"/>
            <w:noWrap w:val="false"/>
          </w:tcPr>
          <w:p>
            <w:pPr>
              <w:jc w:val="center"/>
              <w:spacing w:line="3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验收组织形式</w:t>
            </w:r>
            <w:r/>
          </w:p>
        </w:tc>
        <w:tc>
          <w:tcPr>
            <w:gridSpan w:val="2"/>
            <w:tcW w:w="1759" w:type="dxa"/>
            <w:vAlign w:val="center"/>
            <w:textDirection w:val="lrTb"/>
            <w:noWrap w:val="false"/>
          </w:tcPr>
          <w:p>
            <w:pPr>
              <w:spacing w:line="36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□自行简易验收</w:t>
            </w:r>
            <w:r/>
          </w:p>
          <w:p>
            <w:pPr>
              <w:spacing w:line="36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□验收小组验收</w:t>
            </w:r>
            <w:r/>
          </w:p>
          <w:p>
            <w:pPr>
              <w:spacing w:line="3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□采购代理机构验收</w:t>
            </w:r>
            <w:r/>
          </w:p>
        </w:tc>
      </w:tr>
      <w:tr>
        <w:trPr>
          <w:trHeight w:val="681"/>
        </w:trPr>
        <w:tc>
          <w:tcPr>
            <w:tcW w:w="1032" w:type="dxa"/>
            <w:vAlign w:val="center"/>
            <w:vMerge w:val="restart"/>
            <w:textDirection w:val="lrTb"/>
            <w:noWrap w:val="false"/>
          </w:tcPr>
          <w:p>
            <w:pPr>
              <w:jc w:val="center"/>
              <w:spacing w:line="5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验收内容</w:t>
            </w:r>
            <w:r/>
          </w:p>
        </w:tc>
        <w:tc>
          <w:tcPr>
            <w:tcW w:w="960"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货物清单</w:t>
            </w:r>
            <w:r/>
          </w:p>
        </w:tc>
        <w:tc>
          <w:tcPr>
            <w:tcW w:w="1092" w:type="dxa"/>
            <w:vAlign w:val="center"/>
            <w:textDirection w:val="lrTb"/>
            <w:noWrap w:val="false"/>
          </w:tcPr>
          <w:p>
            <w:pPr>
              <w:jc w:val="center"/>
              <w:spacing w:line="40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品牌、型号、规格、数量及外观质量</w:t>
            </w:r>
            <w:r/>
          </w:p>
        </w:tc>
        <w:tc>
          <w:tcPr>
            <w:tcW w:w="133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技术、性能 指标</w:t>
            </w:r>
            <w:r/>
          </w:p>
        </w:tc>
        <w:tc>
          <w:tcPr>
            <w:tcW w:w="94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运行状况及 安装调试</w:t>
            </w:r>
            <w:r/>
          </w:p>
        </w:tc>
        <w:tc>
          <w:tcPr>
            <w:gridSpan w:val="2"/>
            <w:tcW w:w="1044"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质量证明文件</w:t>
            </w:r>
            <w:r/>
          </w:p>
        </w:tc>
        <w:tc>
          <w:tcPr>
            <w:tcW w:w="1080"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售后服务</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承诺</w:t>
            </w:r>
            <w:r/>
          </w:p>
        </w:tc>
        <w:tc>
          <w:tcPr>
            <w:tcW w:w="483"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安全标准</w:t>
            </w:r>
            <w:r/>
          </w:p>
        </w:tc>
        <w:tc>
          <w:tcPr>
            <w:tcW w:w="1276" w:type="dxa"/>
            <w:vAlign w:val="center"/>
            <w:textDirection w:val="lrTb"/>
            <w:noWrap w:val="false"/>
          </w:tcPr>
          <w:p>
            <w:pPr>
              <w:spacing w:line="40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合同履约</w:t>
            </w:r>
            <w:r/>
          </w:p>
          <w:p>
            <w:pPr>
              <w:spacing w:line="40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时间、地点、方式</w:t>
            </w:r>
            <w:r/>
          </w:p>
        </w:tc>
      </w:tr>
      <w:tr>
        <w:trPr>
          <w:trHeight w:val="774"/>
        </w:trPr>
        <w:tc>
          <w:tcPr>
            <w:tcW w:w="1032" w:type="dxa"/>
            <w:vAlign w:val="center"/>
            <w:vMerge w:val="continue"/>
            <w:textDirection w:val="lrTb"/>
            <w:noWrap w:val="false"/>
          </w:tcPr>
          <w:p>
            <w:pPr>
              <w:jc w:val="center"/>
              <w:spacing w:line="560" w:lineRule="exact"/>
              <w:rPr>
                <w:rFonts w:ascii="宋体" w:hAnsi="宋体" w:cs="宋体"/>
                <w:color w:val="000000" w:themeColor="text1"/>
                <w:sz w:val="18"/>
                <w:szCs w:val="18"/>
                <w:highlight w:val="none"/>
                <w:lang w:eastAsia="zh-CN" w:bidi="ar"/>
                <w14:textFill>
                  <w14:solidFill>
                    <w14:schemeClr w14:val="tx1"/>
                  </w14:solidFill>
                </w14:textFill>
              </w:rPr>
            </w:pPr>
            <w:r>
              <w:rPr>
                <w:rFonts w:ascii="宋体" w:hAnsi="宋体" w:cs="宋体"/>
                <w:color w:val="000000" w:themeColor="text1"/>
                <w:sz w:val="18"/>
                <w:szCs w:val="18"/>
                <w:highlight w:val="none"/>
                <w:lang w:eastAsia="zh-CN" w:bidi="ar"/>
                <w14:textFill>
                  <w14:solidFill>
                    <w14:schemeClr w14:val="tx1"/>
                  </w14:solidFill>
                </w14:textFill>
              </w:rPr>
            </w:r>
            <w:r/>
          </w:p>
        </w:tc>
        <w:tc>
          <w:tcPr>
            <w:tcW w:w="960"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W w:w="109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W w:w="133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W w:w="942"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gridSpan w:val="2"/>
            <w:tcW w:w="1044"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 不合格□</w:t>
            </w:r>
            <w:r/>
          </w:p>
        </w:tc>
        <w:tc>
          <w:tcPr>
            <w:tcW w:w="1080"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W w:w="483" w:type="dxa"/>
            <w:vAlign w:val="center"/>
            <w:textDirection w:val="lrTb"/>
            <w:noWrap w:val="false"/>
          </w:tcPr>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w:t>
            </w:r>
            <w:r/>
          </w:p>
          <w:p>
            <w:pPr>
              <w:jc w:val="cente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c>
          <w:tcPr>
            <w:tcW w:w="1276" w:type="dxa"/>
            <w:vAlign w:val="center"/>
            <w:textDirection w:val="lrTb"/>
            <w:noWrap w:val="false"/>
          </w:tcPr>
          <w:p>
            <w:pP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w:t>
            </w:r>
            <w:r/>
          </w:p>
          <w:p>
            <w:pPr>
              <w:spacing w:line="40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不合格□</w:t>
            </w:r>
            <w:r/>
          </w:p>
        </w:tc>
      </w:tr>
      <w:tr>
        <w:trPr>
          <w:trHeight w:val="666"/>
        </w:trPr>
        <w:tc>
          <w:tcPr>
            <w:tcW w:w="1032" w:type="dxa"/>
            <w:vAlign w:val="center"/>
            <w:textDirection w:val="lrTb"/>
            <w:noWrap w:val="false"/>
          </w:tcPr>
          <w:p>
            <w:pPr>
              <w:jc w:val="center"/>
              <w:spacing w:line="38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专业检测机构情况说明</w:t>
            </w:r>
            <w:r/>
          </w:p>
        </w:tc>
        <w:tc>
          <w:tcPr>
            <w:gridSpan w:val="9"/>
            <w:tcW w:w="8209" w:type="dxa"/>
            <w:vAlign w:val="center"/>
            <w:textDirection w:val="lrTb"/>
            <w:noWrap w:val="false"/>
          </w:tcPr>
          <w:p>
            <w:pPr>
              <w:jc w:val="center"/>
              <w:spacing w:line="380" w:lineRule="exact"/>
              <w:rPr>
                <w:rFonts w:ascii="宋体" w:hAnsi="宋体" w:cs="宋体"/>
                <w:color w:val="000000" w:themeColor="text1"/>
                <w:sz w:val="18"/>
                <w:szCs w:val="18"/>
                <w:highlight w:val="none"/>
                <w:lang w:eastAsia="zh-CN" w:bidi="ar"/>
                <w14:textFill>
                  <w14:solidFill>
                    <w14:schemeClr w14:val="tx1"/>
                  </w14:solidFill>
                </w14:textFill>
              </w:rPr>
            </w:pPr>
            <w:r>
              <w:rPr>
                <w:rFonts w:ascii="宋体" w:hAnsi="宋体" w:cs="宋体"/>
                <w:color w:val="000000" w:themeColor="text1"/>
                <w:sz w:val="18"/>
                <w:szCs w:val="18"/>
                <w:highlight w:val="none"/>
                <w:lang w:eastAsia="zh-CN" w:bidi="ar"/>
                <w14:textFill>
                  <w14:solidFill>
                    <w14:schemeClr w14:val="tx1"/>
                  </w14:solidFill>
                </w14:textFill>
              </w:rPr>
            </w:r>
            <w:r/>
          </w:p>
        </w:tc>
      </w:tr>
      <w:tr>
        <w:trPr>
          <w:trHeight w:val="683"/>
        </w:trPr>
        <w:tc>
          <w:tcPr>
            <w:tcW w:w="1032"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存在问题和</w:t>
            </w:r>
            <w:r/>
          </w:p>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改进意见</w:t>
            </w:r>
            <w:r/>
          </w:p>
        </w:tc>
        <w:tc>
          <w:tcPr>
            <w:gridSpan w:val="9"/>
            <w:tcW w:w="8209"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577"/>
        </w:trPr>
        <w:tc>
          <w:tcPr>
            <w:tcW w:w="1032" w:type="dxa"/>
            <w:vAlign w:val="center"/>
            <w:textDirection w:val="lrTb"/>
            <w:noWrap w:val="false"/>
          </w:tcPr>
          <w:p>
            <w:pPr>
              <w:jc w:val="center"/>
              <w:spacing w:line="5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最终结论</w:t>
            </w:r>
            <w:r/>
          </w:p>
        </w:tc>
        <w:tc>
          <w:tcPr>
            <w:gridSpan w:val="9"/>
            <w:tcW w:w="8209" w:type="dxa"/>
            <w:vAlign w:val="center"/>
            <w:textDirection w:val="lrTb"/>
            <w:noWrap w:val="false"/>
          </w:tcPr>
          <w:p>
            <w:pPr>
              <w:jc w:val="center"/>
              <w:spacing w:line="5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合  格□                              不合格□</w:t>
            </w:r>
            <w:r/>
          </w:p>
        </w:tc>
      </w:tr>
      <w:tr>
        <w:trPr>
          <w:trHeight w:val="565"/>
        </w:trPr>
        <w:tc>
          <w:tcPr>
            <w:tcW w:w="1032"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验收小组成员签字</w:t>
            </w:r>
            <w:r/>
          </w:p>
        </w:tc>
        <w:tc>
          <w:tcPr>
            <w:gridSpan w:val="9"/>
            <w:tcW w:w="8209" w:type="dxa"/>
            <w:vAlign w:val="center"/>
            <w:textDirection w:val="lrTb"/>
            <w:noWrap w:val="false"/>
          </w:tcPr>
          <w:p>
            <w:pPr>
              <w:jc w:val="center"/>
              <w:spacing w:line="380" w:lineRule="exact"/>
              <w:rPr>
                <w:rFonts w:ascii="宋体" w:hAnsi="宋体" w:cs="宋体"/>
                <w:color w:val="000000" w:themeColor="text1"/>
                <w:sz w:val="18"/>
                <w:szCs w:val="18"/>
                <w:highlight w:val="none"/>
                <w:lang w:bidi="ar"/>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r>
            <w:r/>
          </w:p>
        </w:tc>
      </w:tr>
      <w:tr>
        <w:trPr>
          <w:trHeight w:val="433"/>
        </w:trPr>
        <w:tc>
          <w:tcPr>
            <w:gridSpan w:val="6"/>
            <w:tcW w:w="6383" w:type="dxa"/>
            <w:vAlign w:val="center"/>
            <w:textDirection w:val="lrTb"/>
            <w:noWrap w:val="false"/>
          </w:tcPr>
          <w:p>
            <w:pPr>
              <w:jc w:val="center"/>
              <w:spacing w:line="5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采购代理机构意见</w:t>
            </w:r>
            <w:r/>
          </w:p>
        </w:tc>
        <w:tc>
          <w:tcPr>
            <w:gridSpan w:val="4"/>
            <w:tcW w:w="2858" w:type="dxa"/>
            <w:vAlign w:val="center"/>
            <w:textDirection w:val="lrTb"/>
            <w:noWrap w:val="false"/>
          </w:tcPr>
          <w:p>
            <w:pPr>
              <w:jc w:val="center"/>
              <w:spacing w:line="560" w:lineRule="exact"/>
              <w:rPr>
                <w:rFonts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采购人意见</w:t>
            </w:r>
            <w:r/>
          </w:p>
        </w:tc>
      </w:tr>
      <w:tr>
        <w:trPr>
          <w:trHeight w:val="956"/>
        </w:trPr>
        <w:tc>
          <w:tcPr>
            <w:gridSpan w:val="6"/>
            <w:tcW w:w="6383" w:type="dxa"/>
            <w:textDirection w:val="lrTb"/>
            <w:noWrap w:val="false"/>
          </w:tcPr>
          <w:p>
            <w:pPr>
              <w:spacing w:line="560" w:lineRule="exact"/>
              <w:rPr>
                <w:rFonts w:ascii="宋体" w:hAnsi="宋体" w:cs="宋体"/>
                <w:color w:val="000000" w:themeColor="text1"/>
                <w:sz w:val="18"/>
                <w:szCs w:val="18"/>
                <w:highlight w:val="none"/>
                <w:lang w:eastAsia="zh-CN" w:bidi="ar"/>
                <w14:textFill>
                  <w14:solidFill>
                    <w14:schemeClr w14:val="tx1"/>
                  </w14:solidFill>
                </w14:textFill>
              </w:rPr>
            </w:pPr>
            <w:r>
              <w:rPr>
                <w:rFonts w:ascii="宋体" w:hAnsi="宋体" w:cs="宋体"/>
                <w:color w:val="000000" w:themeColor="text1"/>
                <w:sz w:val="18"/>
                <w:szCs w:val="18"/>
                <w:highlight w:val="none"/>
                <w:lang w:eastAsia="zh-CN" w:bidi="ar"/>
                <w14:textFill>
                  <w14:solidFill>
                    <w14:schemeClr w14:val="tx1"/>
                  </w14:solidFill>
                </w14:textFill>
              </w:rPr>
            </w:r>
            <w:r/>
          </w:p>
          <w:p>
            <w:pPr>
              <w:spacing w:line="56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经办人：         负责人：           （采购代理机构公章）</w:t>
            </w:r>
            <w:r/>
          </w:p>
        </w:tc>
        <w:tc>
          <w:tcPr>
            <w:gridSpan w:val="4"/>
            <w:tcW w:w="2858" w:type="dxa"/>
            <w:textDirection w:val="lrTb"/>
            <w:noWrap w:val="false"/>
          </w:tcPr>
          <w:p>
            <w:pPr>
              <w:spacing w:line="56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经办人：       负责人：            （采购人公章）</w:t>
            </w:r>
            <w:r/>
          </w:p>
        </w:tc>
      </w:tr>
      <w:tr>
        <w:trPr>
          <w:trHeight w:val="840"/>
        </w:trPr>
        <w:tc>
          <w:tcPr>
            <w:gridSpan w:val="10"/>
            <w:tcW w:w="9241" w:type="dxa"/>
            <w:textDirection w:val="lrTb"/>
            <w:noWrap w:val="false"/>
          </w:tcPr>
          <w:p>
            <w:pPr>
              <w:spacing w:line="56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供应商确认：</w:t>
            </w:r>
            <w:r/>
          </w:p>
          <w:p>
            <w:pPr>
              <w:spacing w:line="560" w:lineRule="exact"/>
              <w:rPr>
                <w:rFonts w:ascii="宋体" w:hAnsi="宋体" w:cs="宋体"/>
                <w:color w:val="000000" w:themeColor="text1"/>
                <w:sz w:val="18"/>
                <w:szCs w:val="18"/>
                <w:highlight w:val="none"/>
                <w:lang w:eastAsia="zh-CN" w:bidi="ar"/>
                <w14:textFill>
                  <w14:solidFill>
                    <w14:schemeClr w14:val="tx1"/>
                  </w14:solidFill>
                </w14:textFill>
              </w:rPr>
            </w:pPr>
            <w:r>
              <w:rPr>
                <w:rFonts w:hint="eastAsia" w:ascii="宋体" w:hAnsi="宋体" w:cs="宋体"/>
                <w:color w:val="000000" w:themeColor="text1"/>
                <w:sz w:val="18"/>
                <w:szCs w:val="18"/>
                <w:highlight w:val="none"/>
                <w:lang w:eastAsia="zh-CN" w:bidi="ar"/>
                <w14:textFill>
                  <w14:solidFill>
                    <w14:schemeClr w14:val="tx1"/>
                  </w14:solidFill>
                </w14:textFill>
              </w:rPr>
              <w:t xml:space="preserve">（单位公章或授权代表签字）</w:t>
            </w:r>
            <w:r/>
          </w:p>
        </w:tc>
      </w:tr>
    </w:tbl>
    <w:p>
      <w:pPr>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br w:type="page" w:clear="all"/>
      </w:r>
      <w:r/>
    </w:p>
    <w:tbl>
      <w:tblPr>
        <w:tblStyle w:val="732"/>
        <w:tblW w:w="4662" w:type="pct"/>
        <w:tblInd w:w="176" w:type="dxa"/>
        <w:tblLayout w:type="autofit"/>
        <w:tblCellMar>
          <w:left w:w="108" w:type="dxa"/>
          <w:top w:w="0" w:type="dxa"/>
          <w:right w:w="108" w:type="dxa"/>
          <w:bottom w:w="0" w:type="dxa"/>
        </w:tblCellMar>
        <w:tblLook w:val="04A0" w:firstRow="1" w:lastRow="0" w:firstColumn="1" w:lastColumn="0" w:noHBand="0" w:noVBand="1"/>
      </w:tblPr>
      <w:tblGrid>
        <w:gridCol w:w="3878"/>
        <w:gridCol w:w="759"/>
        <w:gridCol w:w="2996"/>
        <w:gridCol w:w="1365"/>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pStyle w:val="761"/>
              <w:jc w:val="center"/>
              <w:spacing w:line="360" w:lineRule="auto"/>
              <w:rPr>
                <w:rFonts w:ascii="仿宋" w:hAnsi="仿宋" w:eastAsia="仿宋" w:cs="仿宋"/>
                <w:color w:val="000000" w:themeColor="text1"/>
                <w:sz w:val="36"/>
                <w:szCs w:val="36"/>
                <w:highlight w:val="none"/>
                <w:shd w:val="clear" w:color="auto" w:fill="ffffff"/>
                <w14:textFill>
                  <w14:solidFill>
                    <w14:schemeClr w14:val="tx1"/>
                  </w14:solidFill>
                </w14:textFill>
              </w:rPr>
              <w:outlineLvl w:val="2"/>
            </w:pPr>
            <w:r>
              <w:rPr>
                <w:rFonts w:ascii="仿宋" w:hAnsi="仿宋" w:eastAsia="仿宋" w:cs="仿宋"/>
                <w:color w:val="000000" w:themeColor="text1"/>
                <w:sz w:val="36"/>
                <w:szCs w:val="36"/>
                <w:highlight w:val="none"/>
                <w:shd w:val="clear" w:color="auto" w:fill="ffffff"/>
                <w14:textFill>
                  <w14:solidFill>
                    <w14:schemeClr w14:val="tx1"/>
                  </w14:solidFill>
                </w14:textFill>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55" w:type="pct"/>
            <w:vAlign w:val="center"/>
            <w:textDirection w:val="lrTb"/>
            <w:noWrap/>
          </w:tcPr>
          <w:p>
            <w:pP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供应商：</w:t>
            </w:r>
            <w:r/>
          </w:p>
        </w:tc>
        <w:tc>
          <w:tcPr>
            <w:tcBorders>
              <w:top w:val="none" w:color="000000" w:sz="4" w:space="0"/>
              <w:left w:val="none" w:color="000000" w:sz="4" w:space="0"/>
              <w:bottom w:val="none" w:color="000000" w:sz="4" w:space="0"/>
              <w:right w:val="none" w:color="000000" w:sz="4" w:space="0"/>
            </w:tcBorders>
            <w:tcW w:w="422"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166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756"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5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44"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5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44"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5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44"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5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合同金额</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5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验收时间</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验收地点</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215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联系人</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65"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4" w:space="0"/>
            </w:tcBorders>
            <w:tcW w:w="756" w:type="pct"/>
            <w:vAlign w:val="center"/>
            <w:textDirection w:val="lrTb"/>
            <w:noWrap/>
          </w:tcPr>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bidi="ar"/>
                <w14:textFill>
                  <w14:solidFill>
                    <w14:schemeClr w14:val="tx1"/>
                  </w14:solidFill>
                </w14:textFill>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单位公章</w:t>
            </w:r>
            <w:r>
              <w:rPr>
                <w:rFonts w:hint="eastAsia" w:ascii="宋体" w:hAnsi="宋体" w:cs="宋体"/>
                <w:color w:val="000000" w:themeColor="text1"/>
                <w:sz w:val="24"/>
                <w:highlight w:val="none"/>
                <w:lang w:bidi="ar"/>
                <w14:textFill>
                  <w14:solidFill>
                    <w14:schemeClr w14:val="tx1"/>
                  </w14:solidFill>
                </w14:textFill>
              </w:rPr>
              <w:br/>
            </w:r>
            <w:r>
              <w:rPr>
                <w:rFonts w:hint="eastAsia" w:ascii="宋体" w:hAnsi="宋体" w:cs="宋体"/>
                <w:color w:val="000000" w:themeColor="text1"/>
                <w:sz w:val="24"/>
                <w:highlight w:val="none"/>
                <w:lang w:bidi="ar"/>
                <w14:textFill>
                  <w14:solidFill>
                    <w14:schemeClr w14:val="tx1"/>
                  </w14:solidFill>
                </w14:textFill>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pStyle w:val="923"/>
        <w:ind w:firstLine="480"/>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923"/>
        <w:ind w:firstLine="480"/>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jc w:val="center"/>
        <w:spacing w:before="240" w:after="240" w:line="439" w:lineRule="atLeast"/>
        <w:rPr>
          <w:rFonts w:ascii="宋体" w:hAnsi="宋体" w:eastAsia="宋体" w:cs="宋体"/>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lang w:eastAsia="zh-CN"/>
          <w14:textFill>
            <w14:solidFill>
              <w14:schemeClr w14:val="tx1"/>
            </w14:solidFill>
          </w14:textFill>
        </w:rPr>
      </w:r>
      <w:r/>
    </w:p>
    <w:p>
      <w:pPr>
        <w:jc w:val="center"/>
        <w:spacing w:before="240" w:after="240" w:line="439" w:lineRule="atLeast"/>
        <w:rPr>
          <w:rFonts w:ascii="宋体" w:hAnsi="宋体" w:eastAsia="宋体" w:cs="宋体"/>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lang w:eastAsia="zh-CN"/>
          <w14:textFill>
            <w14:solidFill>
              <w14:schemeClr w14:val="tx1"/>
            </w14:solidFill>
          </w14:textFill>
        </w:rPr>
      </w:r>
      <w:r/>
    </w:p>
    <w:p>
      <w:pPr>
        <w:jc w:val="center"/>
        <w:spacing w:before="240" w:after="240" w:line="439" w:lineRule="atLeast"/>
        <w:rPr>
          <w:rFonts w:ascii="宋体" w:hAnsi="宋体" w:eastAsia="宋体" w:cs="宋体"/>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lang w:eastAsia="zh-CN"/>
          <w14:textFill>
            <w14:solidFill>
              <w14:schemeClr w14:val="tx1"/>
            </w14:solidFill>
          </w14:textFill>
        </w:rPr>
      </w:r>
      <w:r/>
    </w:p>
    <w:p>
      <w:pPr>
        <w:jc w:val="center"/>
        <w:spacing w:before="240" w:after="240" w:line="439" w:lineRule="atLeast"/>
        <w:rPr>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lang w:eastAsia="zh-CN"/>
          <w14:textFill>
            <w14:solidFill>
              <w14:schemeClr w14:val="tx1"/>
            </w14:solidFill>
          </w14:textFill>
        </w:rPr>
      </w:r>
      <w:r>
        <w:rPr>
          <w:rFonts w:ascii="宋体" w:hAnsi="宋体" w:eastAsia="宋体" w:cs="宋体"/>
          <w:b/>
          <w:color w:val="000000" w:themeColor="text1"/>
          <w:sz w:val="44"/>
          <w:highlight w:val="none"/>
          <w:lang w:eastAsia="zh-CN"/>
          <w14:textFill>
            <w14:solidFill>
              <w14:schemeClr w14:val="tx1"/>
            </w14:solidFill>
          </w14:textFill>
        </w:rPr>
      </w:r>
      <w:r/>
    </w:p>
    <w:p>
      <w:pPr>
        <w:jc w:val="center"/>
        <w:spacing w:before="240" w:after="240" w:line="439" w:lineRule="atLeast"/>
        <w:rPr>
          <w:rFonts w:ascii="宋体" w:hAnsi="宋体" w:eastAsia="宋体" w:cs="宋体"/>
          <w:b/>
          <w:bCs/>
          <w:sz w:val="44"/>
          <w:szCs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lang w:eastAsia="zh-CN"/>
          <w14:textFill>
            <w14:solidFill>
              <w14:schemeClr w14:val="tx1"/>
            </w14:solidFill>
          </w14:textFill>
        </w:rPr>
      </w:r>
      <w:r>
        <w:rPr>
          <w:rFonts w:ascii="宋体" w:hAnsi="宋体" w:eastAsia="宋体" w:cs="宋体"/>
          <w:b/>
          <w:color w:val="000000" w:themeColor="text1"/>
          <w:sz w:val="44"/>
          <w:highlight w:val="none"/>
          <w:lang w:eastAsia="zh-CN"/>
          <w14:textFill>
            <w14:solidFill>
              <w14:schemeClr w14:val="tx1"/>
            </w14:solidFill>
          </w14:textFill>
        </w:rPr>
      </w:r>
      <w:r/>
    </w:p>
    <w:p>
      <w:pPr>
        <w:jc w:val="center"/>
        <w:spacing w:before="240" w:after="240" w:line="439" w:lineRule="atLeast"/>
        <w:rPr>
          <w:rFonts w:ascii="宋体" w:hAnsi="宋体" w:eastAsia="宋体" w:cs="宋体"/>
          <w:b/>
          <w:bCs/>
          <w:sz w:val="44"/>
          <w:szCs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lang w:eastAsia="zh-CN"/>
          <w14:textFill>
            <w14:solidFill>
              <w14:schemeClr w14:val="tx1"/>
            </w14:solidFill>
          </w14:textFill>
        </w:rPr>
        <w:t xml:space="preserve">第四部分 </w:t>
      </w:r>
      <w:r>
        <w:rPr>
          <w:rFonts w:hint="eastAsia" w:ascii="宋体" w:hAnsi="宋体" w:eastAsia="宋体" w:cs="宋体"/>
          <w:b/>
          <w:color w:val="000000" w:themeColor="text1"/>
          <w:sz w:val="44"/>
          <w:highlight w:val="none"/>
          <w:lang w:eastAsia="zh-CN"/>
          <w14:textFill>
            <w14:solidFill>
              <w14:schemeClr w14:val="tx1"/>
            </w14:solidFill>
          </w14:textFill>
        </w:rPr>
        <w:t xml:space="preserve"> </w:t>
      </w:r>
      <w:r>
        <w:rPr>
          <w:rFonts w:ascii="宋体" w:hAnsi="宋体" w:eastAsia="宋体" w:cs="宋体"/>
          <w:b/>
          <w:color w:val="000000" w:themeColor="text1"/>
          <w:sz w:val="44"/>
          <w:highlight w:val="none"/>
          <w:lang w:eastAsia="zh-CN"/>
          <w14:textFill>
            <w14:solidFill>
              <w14:schemeClr w14:val="tx1"/>
            </w14:solidFill>
          </w14:textFill>
        </w:rPr>
        <w:t xml:space="preserve">投标文件格式</w:t>
      </w:r>
      <w:r/>
    </w:p>
    <w:p>
      <w:pPr>
        <w:jc w:val="center"/>
        <w:spacing w:after="0" w:line="380"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14:textFill>
            <w14:solidFill>
              <w14:schemeClr w14:val="tx1"/>
            </w14:solidFill>
          </w14:textFill>
        </w:rPr>
        <w:t xml:space="preserve"> </w:t>
      </w:r>
      <w:r/>
    </w:p>
    <w:p>
      <w:pPr>
        <w:jc w:val="both"/>
        <w:spacing w:after="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说明：</w:t>
      </w:r>
      <w:r/>
    </w:p>
    <w:p>
      <w:pPr>
        <w:spacing w:after="0" w:line="85" w:lineRule="atLeast"/>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14:textFill>
            <w14:solidFill>
              <w14:schemeClr w14:val="tx1"/>
            </w14:solidFill>
          </w14:textFill>
        </w:rPr>
        <w:t xml:space="preserve">对本章所有的投标书格式，投标方可根据自身情况进行补充和修改，但补充和修改不得造成与本格式内容有实质性的违背。</w:t>
      </w:r>
      <w:r/>
    </w:p>
    <w:p>
      <w:pPr>
        <w:spacing w:after="0"/>
        <w:rPr>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lang w:eastAsia="zh-CN"/>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1、关于资格文件的声明函</w:t>
      </w:r>
      <w:r/>
    </w:p>
    <w:p>
      <w:pPr>
        <w:ind w:left="1260" w:firstLine="42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left="1260" w:firstLine="42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left="1260" w:firstLine="177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关于资格文件的声明函</w:t>
      </w:r>
      <w:r/>
    </w:p>
    <w:p>
      <w:pPr>
        <w:ind w:left="1260" w:firstLine="420"/>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苏州市公共资源交易中心太仓分中心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445" w:firstLine="480"/>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本公司愿就由贵单位组织实施的编号为</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JSZC-320585-JZCG-G2025-0134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left="1259" w:firstLine="426"/>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法定代表人或授权代理人（签字或盖章）：</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 2、投标承诺函</w:t>
      </w:r>
      <w:r/>
    </w:p>
    <w:p>
      <w:pPr>
        <w:jc w:val="center"/>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投标承诺函</w:t>
      </w:r>
      <w:r/>
    </w:p>
    <w:p>
      <w:pPr>
        <w:ind w:firstLine="240"/>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苏州市公共资源交易中心太仓分中心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我们收到贵单位</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太仓市娄江新城医院数智化建设项目(一期)算力硬件采购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招标文件（项目编号：</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JSZC-320585-JZCG-G2025-0134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），经仔细阅读和研究，我们决定参加投标。</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1、我们愿意按照招标文件的一切要求，提供包括完成该项目全部内容的设备、材料及人工、机械、保险、劳保、各种税费以及质保期间的一切费用。</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2、如果我们的投标书被接受，我们将严格履行招标文件中规定的每一项要求，按期、按质、按量履行合同的义务。</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3、我们同意按招标文件中的规定，本投标书的有效期限为开标后</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天。</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4、我们愿意提供招标方在招标文件中要求的所有资料。</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5、我们认为你们有权决定中标者，还认为你们有权接受或拒绝所有的投标者。</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6、我们完全理解贵方不一定要接受最低报价的投标或收到的任何投标。</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7、我们承诺该项投标在开标后的全过程中保持有效，不作任何更改和变动。</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如果中标，我们同意并知晓中标通知书发出方式及发出时间，遵守招标文件和中标通知书规定，在指定时间和地点和采购人签订合同。</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9、综合说明：</w:t>
      </w:r>
      <w:r/>
    </w:p>
    <w:p>
      <w:pPr>
        <w:ind w:firstLine="42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（1）伴随服务及配合措施；</w:t>
      </w:r>
      <w:r/>
    </w:p>
    <w:p>
      <w:pPr>
        <w:ind w:firstLine="420"/>
        <w:spacing w:after="0" w:line="440" w:lineRule="exac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（2）要求甲方提供的配合；</w:t>
      </w:r>
      <w:r/>
    </w:p>
    <w:p>
      <w:pPr>
        <w:ind w:firstLine="42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（3）对招标文件有不同意见的偏离说明；</w:t>
      </w:r>
      <w:r/>
    </w:p>
    <w:p>
      <w:pPr>
        <w:ind w:firstLine="42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（4）其它说明。</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所有有关标书的函电，请按下列地址联系：</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单位：联系人：                     地址：邮政编码：</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联系电话：传真：</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法定代表人或授权代理人（签字或盖章）</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3、参加政府采购活动前三年内，在经营活动中没有重大违法记录声明</w:t>
      </w:r>
      <w:r/>
    </w:p>
    <w:p>
      <w:pPr>
        <w:ind w:left="-210" w:right="-210"/>
        <w:spacing w:line="85"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jc w:val="center"/>
        <w:spacing w:line="85" w:lineRule="atLeast"/>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jc w:val="center"/>
        <w:spacing w:line="85" w:lineRule="atLeast"/>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jc w:val="center"/>
        <w:spacing w:line="85"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参加政府采购活动前三年内，在经营活动中没有重大违法记录声明</w:t>
      </w:r>
      <w:r/>
    </w:p>
    <w:p>
      <w:pPr>
        <w:spacing w:line="85"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致：苏州市公共资源交易中心太仓分中心：</w:t>
      </w:r>
      <w:r/>
    </w:p>
    <w:p>
      <w:pPr>
        <w:ind w:firstLine="42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在参加政府采购活动前三年内，没有重大违法记录，特此声明。</w:t>
      </w:r>
      <w:r/>
    </w:p>
    <w:p>
      <w:pPr>
        <w:ind w:firstLine="42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法定代表人（负责人）或代理人（签字或盖章）：</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4、投标单位情况表</w:t>
      </w:r>
      <w:r/>
    </w:p>
    <w:p>
      <w:pPr>
        <w:ind w:left="1260" w:firstLine="2175"/>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投标单位情况表</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单位名称（盖章）：</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6"/>
        <w:gridCol w:w="1980"/>
        <w:gridCol w:w="1392"/>
        <w:gridCol w:w="2220"/>
        <w:gridCol w:w="644"/>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2"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4"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12"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textDirection w:val="lrTb"/>
            <w:noWrap w:val="false"/>
          </w:tcPr>
          <w:p>
            <w:pPr>
              <w:ind w:left="126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firstLine="12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center"/>
            <w:textDirection w:val="lrTb"/>
            <w:noWrap w:val="false"/>
          </w:tcPr>
          <w:p>
            <w:pPr>
              <w:ind w:left="126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firstLine="9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2024年 </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2"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自有面积平方米</w:t>
            </w:r>
            <w:r/>
          </w:p>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承租面积平方米</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vAlign w:val="center"/>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vAlign w:val="center"/>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6" w:type="dxa"/>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6" w:type="dxa"/>
            <w:textDirection w:val="lrTb"/>
            <w:noWrap w:val="false"/>
          </w:tcPr>
          <w:p>
            <w:pPr>
              <w:ind w:left="1260"/>
              <w:spacing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5、法定代表人授权委托书 （如有）</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20"/>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20"/>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授权委托书</w:t>
      </w:r>
      <w:r/>
    </w:p>
    <w:p>
      <w:pPr>
        <w:ind w:firstLine="42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（姓名）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（投标单位名称）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的法定代表人，现授权委托</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（姓名）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为我公司代理人，以本公司的名义参加</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苏州市公共资源交易中心太仓分中心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组织实施的编号为</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JSZC-320585-JZCG-G2025-0134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号的招标活动。代理人在开标、评标、合同谈判过程中所签署的一切文件和处理与这有关的一切事务，我均予以承认。</w:t>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代理人无转委托权。特此委托！</w:t>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2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法定代表人：（签字或盖章）</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授权代理人：（签字或盖章）</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6、开标一览表</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开标一览表</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72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投标人全称（加盖公章）： </w:t>
      </w:r>
      <w:r/>
    </w:p>
    <w:p>
      <w:pPr>
        <w:ind w:firstLine="72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项目编号：JSZC-320585-JZCG-G2025-0134</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0"/>
        <w:gridCol w:w="460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10" w:type="dxa"/>
            <w:vAlign w:val="center"/>
            <w:textDirection w:val="lrTb"/>
            <w:noWrap w:val="false"/>
          </w:tcPr>
          <w:p>
            <w:pPr>
              <w:jc w:val="cente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jc w:val="cente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0" w:type="dxa"/>
            <w:vAlign w:val="center"/>
            <w:textDirection w:val="lrTb"/>
            <w:noWrap w:val="false"/>
          </w:tcPr>
          <w:p>
            <w:pPr>
              <w:jc w:val="center"/>
              <w:spacing w:line="3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太仓市娄江新城医院数智化建设项目(一期)算力硬件采购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10" w:type="dxa"/>
            <w:vAlign w:val="center"/>
            <w:textDirection w:val="lrTb"/>
            <w:noWrap w:val="false"/>
          </w:tcPr>
          <w:p>
            <w:pPr>
              <w:jc w:val="cente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0" w:type="dxa"/>
            <w:vAlign w:val="center"/>
            <w:textDirection w:val="lrTb"/>
            <w:noWrap w:val="false"/>
          </w:tcPr>
          <w:p>
            <w:pPr>
              <w:spacing w:line="3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金额大写：</w:t>
            </w:r>
            <w:r/>
          </w:p>
        </w:tc>
      </w:tr>
    </w:tbl>
    <w:p>
      <w:pPr>
        <w:ind w:firstLine="723"/>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firstLine="3360"/>
        <w:spacing w:line="4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4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7、投标报价明细表</w:t>
      </w:r>
      <w:r/>
    </w:p>
    <w:p>
      <w:pPr>
        <w:ind w:firstLine="3012"/>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firstLine="2811"/>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（一）投标报价明细表</w:t>
      </w:r>
      <w:r/>
    </w:p>
    <w:p>
      <w:pPr>
        <w:ind w:firstLine="3012"/>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 </w:t>
      </w:r>
      <w:r/>
    </w:p>
    <w:tbl>
      <w:tblPr>
        <w:tblStyle w:val="732"/>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品牌、规格、型号/服务说明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大写：元； 小写：               元</w:t>
            </w:r>
            <w:r/>
          </w:p>
        </w:tc>
      </w:tr>
    </w:tbl>
    <w:p>
      <w:pPr>
        <w:spacing w:line="49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49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1、本表报价的合计金额应与开标一览表报价一致</w:t>
      </w:r>
      <w:r/>
    </w:p>
    <w:p>
      <w:pPr>
        <w:ind w:firstLine="480"/>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2、本表中货物内容根据标的物填写品牌、型号、规格等信息，若涉及服务内容的，根据服务分项名称填写服务说明等内容。</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投标单位：（公章）</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法定代表人或委托代理人（签字或盖章）： </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ind w:firstLine="1506"/>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ind w:firstLine="1506"/>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ind w:firstLine="1205"/>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ind w:firstLine="1205"/>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（二）投标报价合理性说明（如有）</w:t>
      </w:r>
      <w:r/>
    </w:p>
    <w:p>
      <w:pPr>
        <w:spacing w:line="42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spacing w:line="42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注：异常低价投标（响应）审查的情形和具体要求如下：</w:t>
      </w:r>
      <w:r>
        <w:rPr>
          <w:rFonts w:hint="eastAsia" w:ascii="宋体" w:hAnsi="宋体" w:eastAsia="宋体" w:cs="宋体"/>
          <w:b/>
          <w:color w:val="000000" w:themeColor="text1"/>
          <w:sz w:val="24"/>
          <w:szCs w:val="24"/>
          <w:highlight w:val="none"/>
          <w:lang w:eastAsia="zh-CN"/>
          <w14:textFill>
            <w14:solidFill>
              <w14:schemeClr w14:val="tx1"/>
            </w14:solidFill>
          </w14:textFill>
        </w:rPr>
        <w:br/>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1.投标（响应）报价低于采购项目预算50%的，即投标（响应）报价&lt;采购项目预算×50%；</w:t>
      </w:r>
      <w:r>
        <w:rPr>
          <w:rFonts w:hint="eastAsia" w:ascii="宋体" w:hAnsi="宋体" w:eastAsia="宋体" w:cs="宋体"/>
          <w:b/>
          <w:color w:val="000000" w:themeColor="text1"/>
          <w:sz w:val="24"/>
          <w:szCs w:val="24"/>
          <w:highlight w:val="none"/>
          <w:lang w:eastAsia="zh-CN"/>
          <w14:textFill>
            <w14:solidFill>
              <w14:schemeClr w14:val="tx1"/>
            </w14:solidFill>
          </w14:textFill>
        </w:rPr>
        <w:br/>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2.投标（响应）报价低于采购项目最高限价45%的，即投标（响应）报价&lt;采购项目最高限价×45%；</w:t>
      </w:r>
      <w:r>
        <w:rPr>
          <w:rFonts w:hint="eastAsia" w:ascii="宋体" w:hAnsi="宋体" w:eastAsia="宋体" w:cs="宋体"/>
          <w:b/>
          <w:color w:val="000000" w:themeColor="text1"/>
          <w:sz w:val="24"/>
          <w:szCs w:val="24"/>
          <w:highlight w:val="none"/>
          <w:lang w:eastAsia="zh-CN"/>
          <w14:textFill>
            <w14:solidFill>
              <w14:schemeClr w14:val="tx1"/>
            </w14:solidFill>
          </w14:textFill>
        </w:rPr>
        <w:br/>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3.评审委员会认定的供应商报价过低、有可能影响产品质量或者不能诚信履约的其他情形。</w:t>
      </w:r>
      <w:r>
        <w:rPr>
          <w:rFonts w:hint="eastAsia" w:ascii="宋体" w:hAnsi="宋体" w:eastAsia="宋体" w:cs="宋体"/>
          <w:b/>
          <w:color w:val="000000" w:themeColor="text1"/>
          <w:sz w:val="24"/>
          <w:szCs w:val="24"/>
          <w:highlight w:val="none"/>
          <w:lang w:eastAsia="zh-CN"/>
          <w14:textFill>
            <w14:solidFill>
              <w14:schemeClr w14:val="tx1"/>
            </w14:solidFill>
          </w14:textFill>
        </w:rPr>
        <w:br/>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spacing w:line="42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spacing w:line="42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投标人应对照以上情形，在投标过程中对所投报价进行报价合理性说明（必要时附相关证明材料），合理性说明附投标报价明细表后，供评标委员会参考。</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投标单位：（公章）</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法定代表人或委托代理人（签字或盖章）： </w:t>
      </w:r>
      <w:r/>
    </w:p>
    <w:p>
      <w:pPr>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日期：      年     月     日</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8、投标货物数量、品牌规格、材质、性能、交货期说明表</w:t>
      </w:r>
      <w:r/>
    </w:p>
    <w:p>
      <w:pPr>
        <w:pStyle w:val="742"/>
        <w:ind w:firstLine="1417"/>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pStyle w:val="742"/>
        <w:ind w:firstLine="1417"/>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投标货物数量、品牌规格、材质、性能、交货期说明表</w:t>
      </w:r>
      <w:r/>
    </w:p>
    <w:tbl>
      <w:tblPr>
        <w:tblStyle w:val="732"/>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926"/>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26"/>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46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4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spacing w:line="4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法定代表人或代理人（签字或盖章）：</w:t>
      </w:r>
      <w:r/>
    </w:p>
    <w:p>
      <w:pPr>
        <w:spacing w:line="4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spacing w:line="4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9、技术（服务）要求偏离表</w:t>
      </w:r>
      <w:r/>
    </w:p>
    <w:p>
      <w:pP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9.1、重要要求参数响应偏离表</w:t>
      </w:r>
      <w:r/>
    </w:p>
    <w:p>
      <w:pPr>
        <w:jc w:val="cente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重要要求参数响应偏离表（标记▲响应）</w:t>
      </w:r>
      <w:r/>
    </w:p>
    <w:p>
      <w:pPr>
        <w:pStyle w:val="734"/>
        <w:ind w:left="22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招标文件编号： </w:t>
      </w:r>
      <w:r/>
    </w:p>
    <w:tbl>
      <w:tblPr>
        <w:tblStyle w:val="732"/>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注：</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2、若事项较多，投标人可根据响应内容的实际情况另纸说明。</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3、上表所指证明材料为项目需求中要求提供的检测报告、截图、各类证书或其他形式的材料，证明材料附后。</w:t>
      </w:r>
      <w:r/>
    </w:p>
    <w:p>
      <w:pPr>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标*参数可根据此表进行调整提供。</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法定代表人或代理人（签字或盖章）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9.2、一般性要求参数响应偏离表</w:t>
      </w:r>
      <w:r/>
    </w:p>
    <w:p>
      <w:pPr>
        <w:jc w:val="center"/>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一般性要求参数响应偏离表（非标记▲响应）</w:t>
      </w:r>
      <w:r/>
    </w:p>
    <w:p>
      <w:pPr>
        <w:pStyle w:val="734"/>
        <w:ind w:left="22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文</w:t>
      </w:r>
      <w:r>
        <w:rPr>
          <w:rFonts w:hint="eastAsia" w:ascii="宋体" w:hAnsi="宋体" w:eastAsia="宋体" w:cs="宋体"/>
          <w:color w:val="000000" w:themeColor="text1"/>
          <w:sz w:val="24"/>
          <w:szCs w:val="24"/>
          <w:highlight w:val="none"/>
          <w14:textFill>
            <w14:solidFill>
              <w14:schemeClr w14:val="tx1"/>
            </w14:solidFill>
          </w14:textFill>
        </w:rPr>
        <w:t xml:space="preserve">件</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编</w:t>
      </w:r>
      <w:r>
        <w:rPr>
          <w:rFonts w:hint="eastAsia" w:ascii="宋体" w:hAnsi="宋体" w:eastAsia="宋体" w:cs="宋体"/>
          <w:color w:val="000000" w:themeColor="text1"/>
          <w:sz w:val="24"/>
          <w:szCs w:val="24"/>
          <w:highlight w:val="none"/>
          <w14:textFill>
            <w14:solidFill>
              <w14:schemeClr w14:val="tx1"/>
            </w14:solidFill>
          </w14:textFill>
        </w:rPr>
        <w:t xml:space="preserve">号</w:t>
      </w:r>
      <w:r>
        <w:rPr>
          <w:rFonts w:hint="eastAsia" w:ascii="宋体" w:hAnsi="宋体" w:eastAsia="宋体" w:cs="宋体"/>
          <w:color w:val="000000" w:themeColor="text1"/>
          <w:spacing w:val="-3"/>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tbl>
      <w:tblPr>
        <w:tblStyle w:val="732"/>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注：</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2、若事项较多，投标人可根据响应内容的实际情况另纸说明。</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jc w:val="both"/>
        <w:spacing w:after="0" w:line="4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jc w:val="both"/>
        <w:spacing w:after="0" w:line="46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pStyle w:val="961"/>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10、商务偏离表</w:t>
      </w:r>
      <w:r/>
    </w:p>
    <w:p>
      <w:pPr>
        <w:jc w:val="center"/>
        <w:spacing w:line="85"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20"/>
          <w:sz w:val="24"/>
          <w:szCs w:val="24"/>
          <w:highlight w:val="none"/>
          <w:lang w:eastAsia="zh-CN"/>
          <w14:textFill>
            <w14:solidFill>
              <w14:schemeClr w14:val="tx1"/>
            </w14:solidFill>
          </w14:textFill>
        </w:rPr>
        <w:t xml:space="preserve">商务条款偏离表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ind w:firstLine="482"/>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spacing w:line="440"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2、若事项较多，投标人可根据响应内容的实际情况另纸说明。</w:t>
      </w:r>
      <w:r/>
    </w:p>
    <w:p>
      <w:pPr>
        <w:ind w:firstLine="480"/>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w:t>
      </w:r>
      <w:r/>
    </w:p>
    <w:p>
      <w:pPr>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法定代表人或代理人（签字或盖章）：</w:t>
      </w:r>
      <w:r/>
    </w:p>
    <w:p>
      <w:pPr>
        <w:spacing w:line="440"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r>
      <w:r/>
    </w:p>
    <w:p>
      <w:pPr>
        <w:rPr>
          <w:rFonts w:hint="eastAsia" w:ascii="宋体" w:hAnsi="宋体" w:eastAsia="宋体" w:cs="宋体"/>
          <w:b/>
          <w:bCs/>
          <w:sz w:val="24"/>
          <w:szCs w:val="24"/>
          <w:highlight w:val="none"/>
        </w:rPr>
      </w:pPr>
      <w:r>
        <w:rPr>
          <w:rFonts w:hint="eastAsia" w:ascii="宋体" w:hAnsi="宋体" w:eastAsia="宋体" w:cs="宋体"/>
          <w:b/>
          <w:color w:val="000000"/>
          <w:sz w:val="24"/>
          <w:szCs w:val="24"/>
          <w:highlight w:val="none"/>
        </w:rPr>
        <w:t xml:space="preserve">11、</w:t>
      </w:r>
      <w:r>
        <w:rPr>
          <w:rFonts w:hint="eastAsia" w:ascii="宋体" w:hAnsi="宋体" w:eastAsia="宋体" w:cs="宋体"/>
          <w:b/>
          <w:bCs/>
          <w:sz w:val="24"/>
          <w:szCs w:val="24"/>
          <w:highlight w:val="none"/>
        </w:rPr>
        <w:t xml:space="preserve">项目技术方案及服务方案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投标人根据项目需求编写针对本项目的技术方案及服务方案</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12、项目实施方案及进度方案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投标人根据项目需求编写针对本项目的实施方案及进度方案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13、项目质量保证措施及承诺</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firstLine="48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投标人根据项目需求编写针对本项目的质量保证措施及承诺</w:t>
      </w:r>
      <w:r/>
    </w:p>
    <w:p>
      <w:pPr>
        <w:spacing w:before="240" w:after="240" w:line="85"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p>
    <w:p>
      <w:pPr>
        <w:spacing w:before="240" w:after="240" w:line="85"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spacing w:before="240" w:after="240"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14、项目售后服务方案</w:t>
      </w:r>
      <w:r/>
    </w:p>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p>
    <w:p>
      <w:pPr>
        <w:ind w:firstLine="48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投标人根据项目需求编写针对本项目的售后服务方案</w:t>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lang w:eastAsia="zh-CN"/>
          <w14:textFill>
            <w14:solidFill>
              <w14:schemeClr w14:val="tx1"/>
            </w14:solidFill>
          </w14:textFill>
        </w:rPr>
        <w:br w:type="page" w:clear="all"/>
      </w: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w:t>
      </w:r>
      <w:r>
        <w:rPr>
          <w:rStyle w:val="766"/>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、企业类似业绩一览表</w:t>
      </w:r>
      <w:r/>
    </w:p>
    <w:p>
      <w:pPr>
        <w:jc w:val="center"/>
        <w:spacing w:line="85"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jc w:val="center"/>
        <w:spacing w:line="85"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企业类似业绩一览表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合同金额</w:t>
            </w:r>
            <w:r/>
          </w:p>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ind w:firstLine="240"/>
        <w:spacing w:line="43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附：按照招标文件要求及评分标准提供相应证明材料。</w:t>
      </w:r>
      <w:r/>
    </w:p>
    <w:p>
      <w:pPr>
        <w:ind w:firstLine="480"/>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80"/>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 </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法定代表人或代理人（签字或盖章）：</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w:t>
      </w:r>
      <w:r>
        <w:rPr>
          <w:rStyle w:val="766"/>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6</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、拟投入本项目的专业技术（服务）人员情况一览表</w:t>
      </w:r>
      <w:r/>
    </w:p>
    <w:p>
      <w:pPr>
        <w:ind w:firstLine="1043"/>
        <w:spacing w:before="240" w:after="24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拟投入本项目的专业技术（服务）人员情况一览表</w:t>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726"/>
        <w:gridCol w:w="1126"/>
        <w:gridCol w:w="943"/>
        <w:gridCol w:w="74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spacing w:line="41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附：1、按照招标文件要求提供相应资质证明材料。</w:t>
      </w:r>
      <w:r/>
    </w:p>
    <w:p>
      <w:pPr>
        <w:ind w:firstLine="574"/>
        <w:spacing w:line="312"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投标单位（单位盖章）： </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法定代表人或代理人（签字或盖章）</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投标日期： 年 月 日</w:t>
      </w:r>
      <w:r/>
    </w:p>
    <w:p>
      <w:pPr>
        <w:spacing w:line="49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w:t>
      </w:r>
      <w:r>
        <w:rPr>
          <w:rStyle w:val="766"/>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7</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、中小企业声明函       </w:t>
      </w:r>
      <w:r/>
    </w:p>
    <w:p>
      <w:pPr>
        <w:ind w:firstLine="482"/>
        <w:jc w:val="center"/>
        <w:spacing w:line="42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中小企业声明函（货物）</w:t>
      </w:r>
      <w:r/>
    </w:p>
    <w:p>
      <w:pPr>
        <w:ind w:firstLine="480"/>
        <w:spacing w:line="4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b/>
          <w:i/>
          <w:color w:val="000000" w:themeColor="text1"/>
          <w:sz w:val="24"/>
          <w:szCs w:val="24"/>
          <w:highlight w:val="none"/>
          <w:u w:val="single"/>
          <w:lang w:eastAsia="zh-CN"/>
          <w14:textFill>
            <w14:solidFill>
              <w14:schemeClr w14:val="tx1"/>
            </w14:solidFill>
          </w14:textFill>
        </w:rPr>
        <w:t xml:space="preserve">    （采购单位）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
          <w:i/>
          <w:color w:val="000000" w:themeColor="text1"/>
          <w:sz w:val="24"/>
          <w:szCs w:val="24"/>
          <w:highlight w:val="none"/>
          <w:u w:val="single"/>
          <w:lang w:eastAsia="zh-CN"/>
          <w14:textFill>
            <w14:solidFill>
              <w14:schemeClr w14:val="tx1"/>
            </w14:solidFill>
          </w14:textFill>
        </w:rPr>
        <w:t xml:space="preserve">（项目名称 和 编号）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采购活动，提供的货物全部由符合政策要求的中小企业制造。相关企业的具体情况如下：</w:t>
      </w:r>
      <w:r/>
    </w:p>
    <w:p>
      <w:pPr>
        <w:ind w:firstLine="480"/>
        <w:spacing w:line="4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
          <w:i/>
          <w:color w:val="000000" w:themeColor="text1"/>
          <w:sz w:val="24"/>
          <w:szCs w:val="24"/>
          <w:highlight w:val="none"/>
          <w:u w:val="single"/>
          <w:lang w:eastAsia="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工业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行业；制造商为</w:t>
      </w:r>
      <w:r>
        <w:rPr>
          <w:rFonts w:hint="eastAsia" w:ascii="宋体" w:hAnsi="宋体" w:eastAsia="宋体" w:cs="宋体"/>
          <w:b/>
          <w:i/>
          <w:color w:val="000000" w:themeColor="text1"/>
          <w:sz w:val="24"/>
          <w:szCs w:val="24"/>
          <w:highlight w:val="none"/>
          <w:u w:val="single"/>
          <w:lang w:eastAsia="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，从业人员</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人，营业收入为</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万元，资产总额为</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"_bookmark1" </w:instrText>
      </w:r>
      <w:r>
        <w:rPr>
          <w:rFonts w:hint="eastAsia" w:ascii="宋体" w:hAnsi="宋体" w:eastAsia="宋体" w:cs="宋体"/>
          <w:sz w:val="24"/>
          <w:szCs w:val="24"/>
          <w:highlight w:val="none"/>
        </w:rPr>
        <w:fldChar w:fldCharType="separate"/>
      </w:r>
      <w:r>
        <w:rPr>
          <w:rFonts w:hint="eastAsia" w:ascii="宋体" w:hAnsi="宋体" w:eastAsia="宋体" w:cs="宋体"/>
          <w:color w:val="000000" w:themeColor="text1"/>
          <w:position w:val="16"/>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position w:val="16"/>
          <w:sz w:val="24"/>
          <w:szCs w:val="24"/>
          <w:highlight w:val="none"/>
          <w:lang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b/>
          <w:i/>
          <w:color w:val="000000" w:themeColor="text1"/>
          <w:sz w:val="24"/>
          <w:szCs w:val="24"/>
          <w:highlight w:val="none"/>
          <w:lang w:eastAsia="zh-CN"/>
          <w14:textFill>
            <w14:solidFill>
              <w14:schemeClr w14:val="tx1"/>
            </w14:solidFill>
          </w14:textFill>
        </w:rPr>
        <w:t xml:space="preserve">（中型企业、小型企业、微型企业，</w:t>
      </w:r>
      <w:r>
        <w:rPr>
          <w:rFonts w:hint="eastAsia" w:ascii="宋体" w:hAnsi="宋体" w:eastAsia="宋体" w:cs="宋体"/>
          <w:b/>
          <w:bCs/>
          <w:i/>
          <w:color w:val="000000" w:themeColor="text1"/>
          <w:sz w:val="24"/>
          <w:szCs w:val="24"/>
          <w:highlight w:val="none"/>
          <w:lang w:eastAsia="zh-CN"/>
          <w14:textFill>
            <w14:solidFill>
              <w14:schemeClr w14:val="tx1"/>
            </w14:solidFill>
          </w14:textFill>
        </w:rPr>
        <w:t xml:space="preserve">三者选一填写</w:t>
      </w:r>
      <w:r>
        <w:rPr>
          <w:rFonts w:hint="eastAsia" w:ascii="宋体" w:hAnsi="宋体" w:eastAsia="宋体" w:cs="宋体"/>
          <w:b/>
          <w: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4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
          <w:i/>
          <w:color w:val="000000" w:themeColor="text1"/>
          <w:sz w:val="24"/>
          <w:szCs w:val="24"/>
          <w:highlight w:val="none"/>
          <w:u w:val="single"/>
          <w:lang w:eastAsia="zh-CN"/>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工业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行业；制造商为</w:t>
      </w:r>
      <w:r>
        <w:rPr>
          <w:rFonts w:hint="eastAsia" w:ascii="宋体" w:hAnsi="宋体" w:eastAsia="宋体" w:cs="宋体"/>
          <w:b/>
          <w:i/>
          <w:color w:val="000000" w:themeColor="text1"/>
          <w:sz w:val="24"/>
          <w:szCs w:val="24"/>
          <w:highlight w:val="none"/>
          <w:u w:val="single"/>
          <w:lang w:eastAsia="zh-CN"/>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，从业人员</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人，营业收入为</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万元，资产总额为</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"_bookmark1" </w:instrText>
      </w:r>
      <w:r>
        <w:rPr>
          <w:rFonts w:hint="eastAsia" w:ascii="宋体" w:hAnsi="宋体" w:eastAsia="宋体" w:cs="宋体"/>
          <w:sz w:val="24"/>
          <w:szCs w:val="24"/>
          <w:highlight w:val="none"/>
        </w:rPr>
        <w:fldChar w:fldCharType="separate"/>
      </w:r>
      <w:r>
        <w:rPr>
          <w:rFonts w:hint="eastAsia" w:ascii="宋体" w:hAnsi="宋体" w:eastAsia="宋体" w:cs="宋体"/>
          <w:color w:val="000000" w:themeColor="text1"/>
          <w:position w:val="16"/>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position w:val="16"/>
          <w:sz w:val="24"/>
          <w:szCs w:val="24"/>
          <w:highlight w:val="none"/>
          <w:lang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宋体"/>
          <w:i/>
          <w:color w:val="000000" w:themeColor="text1"/>
          <w:sz w:val="24"/>
          <w:szCs w:val="24"/>
          <w:highlight w:val="none"/>
          <w:u w:val="single"/>
          <w:lang w:eastAsia="zh-CN"/>
          <w14:textFill>
            <w14:solidFill>
              <w14:schemeClr w14:val="tx1"/>
            </w14:solidFill>
          </w14:textFill>
        </w:rPr>
        <w:tab/>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rPr>
          <w:rFonts w:hint="eastAsia" w:ascii="宋体" w:hAnsi="宋体" w:eastAsia="宋体" w:cs="宋体"/>
          <w:b/>
          <w:i/>
          <w:color w:val="000000" w:themeColor="text1"/>
          <w:sz w:val="24"/>
          <w:szCs w:val="24"/>
          <w:highlight w:val="none"/>
          <w:lang w:eastAsia="zh-CN"/>
          <w14:textFill>
            <w14:solidFill>
              <w14:schemeClr w14:val="tx1"/>
            </w14:solidFill>
          </w14:textFill>
        </w:rPr>
        <w:t xml:space="preserve">（中型企业、小型企业、微型企业，</w:t>
      </w:r>
      <w:r>
        <w:rPr>
          <w:rFonts w:hint="eastAsia" w:ascii="宋体" w:hAnsi="宋体" w:eastAsia="宋体" w:cs="宋体"/>
          <w:b/>
          <w:bCs/>
          <w:i/>
          <w:color w:val="000000" w:themeColor="text1"/>
          <w:sz w:val="24"/>
          <w:szCs w:val="24"/>
          <w:highlight w:val="none"/>
          <w:lang w:eastAsia="zh-CN"/>
          <w14:textFill>
            <w14:solidFill>
              <w14:schemeClr w14:val="tx1"/>
            </w14:solidFill>
          </w14:textFill>
        </w:rPr>
        <w:t xml:space="preserve">三者选一填写</w:t>
      </w:r>
      <w:r>
        <w:rPr>
          <w:rFonts w:hint="eastAsia" w:ascii="宋体" w:hAnsi="宋体" w:eastAsia="宋体" w:cs="宋体"/>
          <w:b/>
          <w: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4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本企业对上述声明内容的真实性负责。如有虚假，将依法承担相应责任。</w:t>
      </w:r>
      <w:r/>
    </w:p>
    <w:p>
      <w:pPr>
        <w:ind w:firstLine="28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企业名称（盖章）：</w:t>
      </w:r>
      <w:r/>
    </w:p>
    <w:p>
      <w:pPr>
        <w:ind w:firstLine="28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日期：</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"_bookmark1" </w:instrText>
      </w:r>
      <w:r>
        <w:rPr>
          <w:rFonts w:hint="eastAsia" w:ascii="宋体" w:hAnsi="宋体" w:eastAsia="宋体" w:cs="宋体"/>
          <w:sz w:val="24"/>
          <w:szCs w:val="24"/>
          <w:highlight w:val="none"/>
        </w:rPr>
        <w:fldChar w:fldCharType="separate"/>
      </w:r>
      <w:r>
        <w:rPr>
          <w:rFonts w:hint="eastAsia" w:ascii="宋体" w:hAnsi="宋体" w:eastAsia="宋体" w:cs="宋体"/>
          <w:color w:val="000000" w:themeColor="text1"/>
          <w:position w:val="16"/>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position w:val="16"/>
          <w:sz w:val="24"/>
          <w:szCs w:val="24"/>
          <w:highlight w:val="none"/>
          <w:lang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从业人员、营业收入、资产总额填报上一年度数据，无上一年度数据的新成立企业可不填报。</w:t>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ind w:firstLine="48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备注：1、投标人参加政府采购活动，应当出具《中小企业声明函》，否则不得享受相关中小企业扶持政策。</w:t>
      </w:r>
      <w:r/>
    </w:p>
    <w:p>
      <w:pPr>
        <w:ind w:firstLine="120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2、投标人提供的中小企业声明函必须包含本项目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标注为工业的所有货物及其货物制造商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，并按照声明函格式填写完整、明确，否则视为未按规定提供声明函，投标无效。</w:t>
      </w:r>
      <w:r/>
    </w:p>
    <w:p>
      <w:pPr>
        <w:ind w:firstLine="1200"/>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spacing w:after="0" w:line="439" w:lineRule="atLeast"/>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1</w:t>
      </w:r>
      <w:r>
        <w:rPr>
          <w:rStyle w:val="766"/>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8</w:t>
      </w: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、残疾人福利性单位声明函（如有）</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ind w:firstLine="2560"/>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残疾人福利性单位声明函</w:t>
      </w:r>
      <w:r/>
    </w:p>
    <w:p>
      <w:pPr>
        <w:ind w:firstLine="1928"/>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ind w:firstLine="480"/>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本单位对上述声明的真实性负责。如有虚假，将依法承担相应责任。</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单位名称（盖章）：</w:t>
      </w:r>
      <w:r/>
    </w:p>
    <w:p>
      <w:pPr>
        <w:spacing w:line="479" w:lineRule="atLeas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日 期：</w:t>
      </w:r>
      <w:r/>
    </w:p>
    <w:p>
      <w:pPr>
        <w:ind w:firstLine="482"/>
        <w:rPr>
          <w:rFonts w:hint="eastAsia" w:ascii="宋体" w:hAnsi="宋体" w:eastAsia="宋体" w:cs="宋体"/>
          <w:b/>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r>
      <w:r/>
    </w:p>
    <w:p>
      <w:pPr>
        <w:jc w:val="both"/>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jc w:val="left"/>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Style w:val="766"/>
          <w:rFonts w:hint="eastAsia" w:ascii="宋体" w:hAnsi="宋体" w:eastAsia="宋体" w:cs="宋体"/>
          <w:b/>
          <w:bCs/>
          <w:color w:val="000000" w:themeColor="text1"/>
          <w:sz w:val="24"/>
          <w:szCs w:val="24"/>
          <w:highlight w:val="none"/>
          <w:shd w:val="clear" w:color="auto" w:fill="ffffff"/>
          <w:lang w:eastAsia="zh-CN"/>
          <w14:textFill>
            <w14:solidFill>
              <w14:schemeClr w14:val="tx1"/>
            </w14:solidFill>
          </w14:textFill>
        </w:rPr>
        <w:t xml:space="preserve">1</w:t>
      </w:r>
      <w:r>
        <w:rPr>
          <w:rStyle w:val="766"/>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9</w:t>
      </w:r>
      <w:r>
        <w:rPr>
          <w:rStyle w:val="766"/>
          <w:rFonts w:hint="eastAsia" w:ascii="宋体" w:hAnsi="宋体" w:eastAsia="宋体" w:cs="宋体"/>
          <w:b/>
          <w:bCs/>
          <w:color w:val="000000" w:themeColor="text1"/>
          <w:sz w:val="24"/>
          <w:szCs w:val="24"/>
          <w:highlight w:val="none"/>
          <w:shd w:val="clear" w:color="auto" w:fill="ffffff"/>
          <w:lang w:eastAsia="zh-CN"/>
          <w14:textFill>
            <w14:solidFill>
              <w14:schemeClr w14:val="tx1"/>
            </w14:solidFill>
          </w14:textFill>
        </w:rPr>
        <w:t xml:space="preserve">、</w:t>
      </w:r>
      <w:bookmarkStart w:id="22" w:name="OLE_LINK53"/>
      <w:r>
        <w:rPr>
          <w:rStyle w:val="766"/>
          <w:rFonts w:hint="eastAsia" w:ascii="宋体" w:hAnsi="宋体" w:eastAsia="宋体" w:cs="宋体"/>
          <w:b/>
          <w:bCs/>
          <w:color w:val="000000" w:themeColor="text1"/>
          <w:sz w:val="24"/>
          <w:szCs w:val="24"/>
          <w:highlight w:val="none"/>
          <w:shd w:val="clear" w:color="auto" w:fill="ffffff"/>
          <w:lang w:eastAsia="zh-CN"/>
          <w14:textFill>
            <w14:solidFill>
              <w14:schemeClr w14:val="tx1"/>
            </w14:solidFill>
          </w14:textFill>
        </w:rPr>
        <w:t xml:space="preserve">监狱企业证明文件（如有）</w:t>
      </w:r>
      <w:r>
        <w:rPr>
          <w:rStyle w:val="766"/>
          <w:rFonts w:hint="eastAsia" w:ascii="宋体" w:hAnsi="宋体" w:eastAsia="宋体" w:cs="宋体"/>
          <w:b/>
          <w:bCs/>
          <w:color w:val="000000" w:themeColor="text1"/>
          <w:sz w:val="24"/>
          <w:szCs w:val="24"/>
          <w:highlight w:val="none"/>
          <w:shd w:val="clear" w:color="auto" w:fill="ffffff"/>
          <w:lang w:eastAsia="zh-CN"/>
          <w14:textFill>
            <w14:solidFill>
              <w14:schemeClr w14:val="tx1"/>
            </w14:solidFill>
          </w14:textFill>
        </w:rPr>
        <w:br/>
      </w:r>
      <w:r>
        <w:rPr>
          <w:rFonts w:hint="eastAsia" w:ascii="宋体" w:hAnsi="宋体" w:eastAsia="宋体" w:cs="宋体"/>
          <w:color w:val="000000" w:themeColor="text1"/>
          <w:sz w:val="24"/>
          <w:szCs w:val="24"/>
          <w:highlight w:val="none"/>
          <w:lang w:eastAsia="zh-CN"/>
          <w14:textFill>
            <w14:solidFill>
              <w14:schemeClr w14:val="tx1"/>
            </w14:solidFill>
          </w14:textFill>
        </w:rPr>
        <w:br/>
      </w:r>
      <w:r>
        <w:rPr>
          <w:rFonts w:hint="eastAsia" w:ascii="宋体" w:hAnsi="宋体" w:eastAsia="宋体" w:cs="宋体"/>
          <w:color w:val="000000" w:themeColor="text1"/>
          <w:sz w:val="24"/>
          <w:szCs w:val="24"/>
          <w:highlight w:val="none"/>
          <w:lang w:eastAsia="zh-CN"/>
          <w14:textFill>
            <w14:solidFill>
              <w14:schemeClr w14:val="tx1"/>
            </w14:solidFill>
          </w14:textFill>
        </w:rPr>
        <w:br/>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监狱企业证明文件</w:t>
      </w:r>
      <w:r>
        <w:rPr>
          <w:rFonts w:hint="eastAsia" w:ascii="宋体" w:hAnsi="宋体" w:eastAsia="宋体" w:cs="宋体"/>
          <w:color w:val="000000" w:themeColor="text1"/>
          <w:sz w:val="24"/>
          <w:szCs w:val="24"/>
          <w:highlight w:val="none"/>
          <w:lang w:eastAsia="zh-CN"/>
          <w14:textFill>
            <w14:solidFill>
              <w14:schemeClr w14:val="tx1"/>
            </w14:solidFill>
          </w14:textFill>
        </w:rPr>
        <w:br/>
      </w:r>
      <w:r>
        <w:rPr>
          <w:rFonts w:hint="eastAsia" w:ascii="宋体" w:hAnsi="宋体" w:eastAsia="宋体" w:cs="宋体"/>
          <w:color w:val="000000" w:themeColor="text1"/>
          <w:sz w:val="24"/>
          <w:szCs w:val="24"/>
          <w:highlight w:val="none"/>
          <w:lang w:eastAsia="zh-CN"/>
          <w14:textFill>
            <w14:solidFill>
              <w14:schemeClr w14:val="tx1"/>
            </w14:solidFill>
          </w14:textFill>
        </w:rPr>
        <w:br/>
      </w:r>
      <w:r/>
    </w:p>
    <w:p>
      <w:pPr>
        <w:jc w:val="left"/>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jc w:val="left"/>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22"/>
      <w:r/>
      <w:r/>
    </w:p>
    <w:p>
      <w:pPr>
        <w:jc w:val="left"/>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r>
      <w:r/>
    </w:p>
    <w:p>
      <w:pPr>
        <w:spacing w:after="0"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jc w:val="center"/>
        <w:spacing w:before="240" w:after="240" w:line="439" w:lineRule="atLeast"/>
        <w:rPr>
          <w:rFonts w:ascii="宋体" w:hAnsi="宋体" w:eastAsia="宋体" w:cs="宋体"/>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44"/>
          <w:highlight w:val="none"/>
          <w:lang w:eastAsia="zh-CN"/>
          <w14:textFill>
            <w14:solidFill>
              <w14:schemeClr w14:val="tx1"/>
            </w14:solidFill>
          </w14:textFill>
        </w:rPr>
        <w:t xml:space="preserve">第五部分  评标方法与评标标准</w:t>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评标方法</w:t>
      </w:r>
      <w:r/>
    </w:p>
    <w:p>
      <w:pPr>
        <w:pStyle w:val="919"/>
        <w:ind w:firstLine="48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color w:val="000000" w:themeColor="text1"/>
          <w:sz w:val="24"/>
          <w:szCs w:val="24"/>
          <w:highlight w:val="none"/>
          <w:lang w:eastAsia="zh-CN"/>
          <w14:textFill>
            <w14:solidFill>
              <w14:schemeClr w14:val="tx1"/>
            </w14:solidFill>
          </w14:textFill>
        </w:rPr>
        <w:br/>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919"/>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19"/>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四、如出现评审得分最高的投标人有两个或两个以上的，以投标报价较低者优先作为该标段中标候选人，如果投标报价也相同的，则由评标委员会以抽签方式确定中标候选人。</w:t>
      </w:r>
      <w:r/>
    </w:p>
    <w:p>
      <w:pPr>
        <w:pStyle w:val="919"/>
        <w:ind w:firstLine="48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19"/>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七、中小企业相关政策：</w:t>
      </w:r>
      <w:r/>
    </w:p>
    <w:p>
      <w:pPr>
        <w:ind w:firstLine="480"/>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但与大企业的负责人为同一人，或者与大企业存在直接控股、管理关系的除外。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符合中小企业划分标准的个体工商户，在政府采购活动中视同中小企业：</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5、符合中小企业划分标准的个体工商户，在政府采购活动中视同中小企业。</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6、残疾人福利性单位及监狱企业视同小型企业，享受评审中价格扣除等促进中小企业发展的政府采购政策。</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7、供应商按照本办法规定提供声明函内容不实的，属于提供虚假材料谋取中标、 成交， 依照《中华人民共和国政府采购法》 等国家有关规定追究相应责任。 </w:t>
      </w:r>
      <w:r/>
    </w:p>
    <w:p>
      <w:pPr>
        <w:pStyle w:val="919"/>
        <w:spacing w:line="46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bookmarkStart w:id="23" w:name="OLE_LINK22"/>
      <w:r/>
      <w:bookmarkStart w:id="24" w:name="_Hlk166575460"/>
      <w:r/>
      <w:r/>
    </w:p>
    <w:p>
      <w:pPr>
        <w:pStyle w:val="723"/>
        <w:keepLines w:val="0"/>
        <w:keepNext w:val="0"/>
        <w:spacing w:before="0" w:after="0" w:line="360" w:lineRule="auto"/>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Style w:val="766"/>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评分标准</w:t>
      </w:r>
      <w:r/>
    </w:p>
    <w:p>
      <w:pPr>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5" w:name="OLE_LINK7"/>
      <w:r/>
      <w:bookmarkStart w:id="26" w:name="OLE_LINK8"/>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一</w:t>
      </w:r>
      <w:bookmarkStart w:id="27" w:name="OLE_LINK9"/>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bookmarkEnd w:id="25"/>
      <w:r/>
      <w:bookmarkEnd w:id="27"/>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投标报价（35分</w:t>
      </w:r>
      <w:bookmarkEnd w:id="26"/>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8" w:name="OLE_LINK38"/>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第二步：在所有有效投标报价中满足招标文件要求，且投标价格最低的投标报价为评标基准价，其价格分为35分，其他投标人的价格分按照下列公式计算（计算结果四舍五入保留两位小数）。</w:t>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投标报价得分＝（评标基准价/投标报价）×35％×100。</w:t>
      </w:r>
      <w:bookmarkEnd w:id="28"/>
      <w:r/>
      <w:r/>
    </w:p>
    <w:p>
      <w:pPr>
        <w:jc w:val="both"/>
        <w:spacing w:after="0" w:line="48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9" w:name="OLE_LINK12"/>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二、</w:t>
      </w:r>
      <w:bookmarkStart w:id="30" w:name="OLE_LINK39"/>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技术参数响应</w:t>
      </w:r>
      <w:bookmarkEnd w:id="30"/>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（30分）</w:t>
      </w:r>
      <w:bookmarkEnd w:id="29"/>
      <w:r/>
      <w:r/>
    </w:p>
    <w:p>
      <w:pPr>
        <w:ind w:firstLine="482"/>
        <w:jc w:val="both"/>
        <w:spacing w:after="0" w:line="440" w:lineRule="exact"/>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根据第三部分 项目需求中 </w:t>
      </w: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主要设备具体技术参数要求</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进行评审</w:t>
      </w:r>
      <w:r>
        <w:rPr>
          <w:rFonts w:hint="eastAsia" w:ascii="宋体" w:hAnsi="宋体" w:eastAsia="宋体" w:cs="宋体"/>
          <w:b w:val="0"/>
          <w:bCs w:val="0"/>
          <w:color w:val="000000" w:themeColor="text1"/>
          <w:sz w:val="24"/>
          <w:szCs w:val="24"/>
          <w:highlight w:val="none"/>
          <w:lang w:eastAsia="zh-CN" w:bidi="ar"/>
          <w14:textFill>
            <w14:solidFill>
              <w14:schemeClr w14:val="tx1"/>
            </w14:solidFill>
          </w14:textFill>
        </w:rPr>
        <w:t xml:space="preserve">，主要设备具体技术参数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完全符合招标要求得30分；招标文件技术要求中指标参数以▲号标示的为重要参数，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共20项，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最高分20分，</w:t>
      </w:r>
      <w:bookmarkStart w:id="31" w:name="OLE_LINK19"/>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项扣1分</w:t>
      </w:r>
      <w:bookmarkEnd w:id="3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；招标技术需求表中未做任何标示的参数，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共50项，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最高分10分，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项扣0.2分。</w:t>
      </w:r>
      <w:r/>
    </w:p>
    <w:p>
      <w:pPr>
        <w:ind w:firstLine="482"/>
        <w:jc w:val="both"/>
        <w:spacing w:after="0" w:line="44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“▲”标示的为重要参数，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按表格中的具体要求，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相对应的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加盖投标人公章），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未按要求提供视为负偏离。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未做任何标示的参数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根据投标文件中偏离表标注的情况进行打分，未标注视为负偏离。</w:t>
      </w:r>
      <w:r/>
    </w:p>
    <w:p>
      <w:pPr>
        <w:jc w:val="both"/>
        <w:spacing w:after="0" w:line="480" w:lineRule="exact"/>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三、技术与服务方案（</w:t>
      </w:r>
      <w:r>
        <w:rPr>
          <w:rFonts w:ascii="宋体" w:hAnsi="宋体" w:eastAsia="宋体" w:cs="宋体"/>
          <w:b/>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0分）</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技术方案：据投标人针对本项目的技术方案进行评分，方案内容至少包括（1）集群架构设计方案、（2）网络拓扑方案、（3）运维方案、（4）故障响应售后方案、（5）技术培训方案。方案内容针对本项目且符合本项目实际需求的得</w:t>
      </w:r>
      <w:r>
        <w:rPr>
          <w:rFonts w:ascii="宋体" w:hAnsi="宋体" w:eastAsia="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分；每缺少一项内容，或内容错误，或内容非专门针对本项目，或内容不能满足本项目实际需求的，每一项扣</w:t>
      </w: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分；不提供方案不得分。</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项目实施方案及进度保障措施：据投标人针对本项目的项目实施方案及进度保障措施进行评分，方案内容至少包括（1）施工进度规划、（2）施工组织方案、（3）工期保证措施、（4）规避及降低风险措施、（5）人员部署及分工。方案内容针对本项目且符合本项目实际需求的得1</w:t>
      </w:r>
      <w:r>
        <w:rPr>
          <w:rFonts w:ascii="宋体" w:hAnsi="宋体" w:eastAsia="宋体" w:cs="宋体"/>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分；每缺少一项内容，或内容错误，或内容非专门针对本项目，或内容不能满足本项目实际需求的，每一项扣</w:t>
      </w: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分；不提供方案不得分。</w:t>
      </w:r>
      <w:r/>
    </w:p>
    <w:p>
      <w:pPr>
        <w:jc w:val="both"/>
        <w:spacing w:after="0" w:line="480" w:lineRule="exact"/>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四、类似业绩（10分）</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投标人提供2023年1月1日以来类似项目（以合同签订日期为准），每提供一个得2分，最高得10分。需提供销售合同扫描件并加盖投标人公章，否则不得分。（最高10分）</w:t>
      </w:r>
      <w:r/>
    </w:p>
    <w:p>
      <w:pPr>
        <w:jc w:val="both"/>
        <w:spacing w:after="0" w:line="480" w:lineRule="exact"/>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五、项目团队人员（5分）</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1、投标人拟派项目负责人，具有国家人力资源和社会保障部认证的项目管理师、信息系统项目管理师或系统集成项目管理工程师证书，得2分，本项最高2分；</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2、投标人拟派技术人员，</w:t>
      </w:r>
      <w:r>
        <w:rPr>
          <w:rFonts w:ascii="宋体" w:hAnsi="宋体" w:eastAsia="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国家或</w:t>
      </w:r>
      <w:r>
        <w:rPr>
          <w:rFonts w:ascii="宋体" w:hAnsi="宋体" w:eastAsia="宋体" w:cs="宋体"/>
          <w:color w:val="000000" w:themeColor="text1"/>
          <w:sz w:val="24"/>
          <w:szCs w:val="24"/>
          <w:highlight w:val="none"/>
          <w:lang w:eastAsia="zh-CN"/>
          <w14:textFill>
            <w14:solidFill>
              <w14:schemeClr w14:val="tx1"/>
            </w14:solidFill>
          </w14:textFill>
        </w:rPr>
        <w:t xml:space="preserve">各省市人力资源和社会保障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部（局）认证的计算机与网络</w:t>
      </w:r>
      <w:r>
        <w:rPr>
          <w:rFonts w:ascii="宋体" w:hAnsi="宋体" w:eastAsia="宋体" w:cs="宋体"/>
          <w:color w:val="000000" w:themeColor="text1"/>
          <w:sz w:val="24"/>
          <w:szCs w:val="24"/>
          <w:highlight w:val="none"/>
          <w:lang w:eastAsia="zh-CN"/>
          <w14:textFill>
            <w14:solidFill>
              <w14:schemeClr w14:val="tx1"/>
            </w14:solidFill>
          </w14:textFill>
        </w:rPr>
        <w:t xml:space="preserve">工程师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、软件设计师、系统集成项目管理工程师证书或其他信息技术相关中级</w:t>
      </w:r>
      <w:r>
        <w:rPr>
          <w:rFonts w:ascii="宋体" w:hAnsi="宋体" w:eastAsia="宋体" w:cs="宋体"/>
          <w:color w:val="000000" w:themeColor="text1"/>
          <w:sz w:val="24"/>
          <w:szCs w:val="24"/>
          <w:highlight w:val="none"/>
          <w:lang w:eastAsia="zh-CN"/>
          <w14:textFill>
            <w14:solidFill>
              <w14:schemeClr w14:val="tx1"/>
            </w14:solidFill>
          </w14:textFill>
        </w:rPr>
        <w:t xml:space="preserve">及以上职称的，每人得1分，本项最高3分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以上1-2项需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人员的相关证书扫描件并加盖公章，</w:t>
      </w:r>
      <w:r>
        <w:rPr>
          <w:rFonts w:hint="eastAsia" w:asciiTheme="minorEastAsia" w:hAnsiTheme="minorEastAsia" w:eastAsiaTheme="minorEastAsia" w:cstheme="minorEastAsia"/>
          <w:color w:val="000000" w:themeColor="text1"/>
          <w:sz w:val="24"/>
          <w:szCs w:val="24"/>
          <w:highlight w:val="none"/>
          <w:lang w:eastAsia="zh-CN" w:bidi="ar"/>
          <w14:textFill>
            <w14:solidFill>
              <w14:schemeClr w14:val="tx1"/>
            </w14:solidFill>
          </w14:textFill>
        </w:rPr>
        <w:t xml:space="preserve">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投标人为其缴纳的近三个月中任意一个月的社保证明复印件加盖公章，不提供或提供不全不得分（项目拟派技术人员不得与项目负责人不可为同一人，且同一人不重复计算得分)。</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r>
      <w:bookmarkEnd w:id="23"/>
      <w:r/>
      <w:bookmarkEnd w:id="24"/>
      <w:r/>
      <w:r/>
    </w:p>
    <w:p>
      <w:pPr>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注：1、报价超过最高限价的为无效投标。</w:t>
      </w:r>
      <w:r/>
    </w:p>
    <w:p>
      <w:pPr>
        <w:ind w:firstLine="482"/>
        <w:jc w:val="both"/>
        <w:spacing w:after="0" w:line="440" w:lineRule="exact"/>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2、针对评分标准中评分的每一条，投标人均应提供相关电子证明资料并作出相应说明供评委评判，不提供相关电子证明资料的视为不具备该项得分的条件。</w:t>
      </w:r>
      <w:r/>
    </w:p>
    <w:p>
      <w:pPr>
        <w:pStyle w:val="919"/>
        <w:ind w:firstLine="480"/>
        <w:spacing w:line="50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3、所有复印件字迹须复印清晰可见,复印不全或字迹不清晰的，视为未提供。</w:t>
      </w:r>
      <w:r/>
    </w:p>
    <w:p>
      <w:pPr>
        <w:pStyle w:val="919"/>
        <w:spacing w:line="50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p>
      <w:pPr>
        <w:pStyle w:val="919"/>
        <w:spacing w:line="50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br w:type="page" w:clear="all"/>
      </w:r>
      <w:r/>
    </w:p>
    <w:p>
      <w:pPr>
        <w:jc w:val="center"/>
        <w:spacing w:before="240" w:after="240" w:line="439" w:lineRule="atLeast"/>
        <w:rPr>
          <w:rFonts w:ascii="宋体" w:hAnsi="宋体" w:eastAsia="宋体" w:cs="宋体"/>
          <w:b/>
          <w:color w:val="000000" w:themeColor="text1"/>
          <w:sz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44"/>
          <w:highlight w:val="none"/>
          <w:lang w:eastAsia="zh-CN"/>
          <w14:textFill>
            <w14:solidFill>
              <w14:schemeClr w14:val="tx1"/>
            </w14:solidFill>
          </w14:textFill>
        </w:rPr>
        <w:t xml:space="preserve">第六部分 合同格式</w:t>
      </w:r>
      <w:r/>
    </w:p>
    <w:p>
      <w:pPr>
        <w:pStyle w:val="961"/>
        <w:jc w:val="center"/>
        <w:rPr>
          <w:rFonts w:ascii="宋体" w:hAnsi="宋体" w:eastAsia="宋体" w:cs="宋体"/>
          <w:b/>
          <w:bCs/>
          <w:color w:val="000000" w:themeColor="text1"/>
          <w:spacing w:val="-20"/>
          <w:sz w:val="44"/>
          <w:szCs w:val="48"/>
          <w:highlight w:val="none"/>
          <w:lang w:eastAsia="zh-CN"/>
          <w14:textFill>
            <w14:solidFill>
              <w14:schemeClr w14:val="tx1"/>
            </w14:solidFill>
          </w14:textFill>
        </w:rPr>
      </w:pPr>
      <w:r/>
      <w:bookmarkStart w:id="32" w:name="_Toc3995"/>
      <w:r/>
      <w:r/>
    </w:p>
    <w:p>
      <w:pPr>
        <w:pStyle w:val="961"/>
        <w:jc w:val="center"/>
        <w:rPr>
          <w:rFonts w:ascii="宋体" w:hAnsi="宋体" w:eastAsia="宋体" w:cs="宋体"/>
          <w:b/>
          <w:bCs/>
          <w:color w:val="000000" w:themeColor="text1"/>
          <w:spacing w:val="-20"/>
          <w:sz w:val="44"/>
          <w:szCs w:val="48"/>
          <w:highlight w:val="none"/>
          <w:lang w:eastAsia="zh-CN"/>
          <w14:textFill>
            <w14:solidFill>
              <w14:schemeClr w14:val="tx1"/>
            </w14:solidFill>
          </w14:textFill>
        </w:rPr>
      </w:pPr>
      <w:r>
        <w:rPr>
          <w:rFonts w:hint="eastAsia" w:ascii="宋体" w:hAnsi="宋体" w:eastAsia="宋体" w:cs="宋体"/>
          <w:b/>
          <w:bCs/>
          <w:color w:val="000000" w:themeColor="text1"/>
          <w:spacing w:val="-20"/>
          <w:sz w:val="44"/>
          <w:szCs w:val="48"/>
          <w:highlight w:val="none"/>
          <w:lang w:eastAsia="zh-CN"/>
          <w14:textFill>
            <w14:solidFill>
              <w14:schemeClr w14:val="tx1"/>
            </w14:solidFill>
          </w14:textFill>
        </w:rPr>
        <w:t xml:space="preserve">政府采购货物买卖合同</w:t>
      </w:r>
      <w:r/>
    </w:p>
    <w:p>
      <w:pPr>
        <w:pStyle w:val="961"/>
        <w:jc w:val="center"/>
        <w:rPr>
          <w:rFonts w:ascii="宋体" w:hAnsi="宋体" w:eastAsia="宋体" w:cs="宋体"/>
          <w:b/>
          <w:bCs/>
          <w:color w:val="000000" w:themeColor="text1"/>
          <w:spacing w:val="-20"/>
          <w:sz w:val="48"/>
          <w:szCs w:val="48"/>
          <w:highlight w:val="none"/>
          <w:lang w:eastAsia="zh-CN"/>
          <w14:textFill>
            <w14:solidFill>
              <w14:schemeClr w14:val="tx1"/>
            </w14:solidFill>
          </w14:textFill>
        </w:rPr>
      </w:pPr>
      <w:r>
        <w:rPr>
          <w:rFonts w:ascii="宋体" w:hAnsi="宋体" w:eastAsia="宋体" w:cs="宋体"/>
          <w:b/>
          <w:bCs/>
          <w:color w:val="000000" w:themeColor="text1"/>
          <w:spacing w:val="-20"/>
          <w:sz w:val="48"/>
          <w:szCs w:val="48"/>
          <w:highlight w:val="none"/>
          <w:lang w:eastAsia="zh-CN"/>
          <w14:textFill>
            <w14:solidFill>
              <w14:schemeClr w14:val="tx1"/>
            </w14:solidFill>
          </w14:textFill>
        </w:rPr>
      </w:r>
      <w:r/>
    </w:p>
    <w:p>
      <w:pPr>
        <w:rPr>
          <w:rFonts w:ascii="宋体" w:hAnsi="宋体" w:cs="宋体"/>
          <w:b/>
          <w:bCs/>
          <w:color w:val="000000" w:themeColor="text1"/>
          <w:spacing w:val="-20"/>
          <w:sz w:val="40"/>
          <w:szCs w:val="40"/>
          <w:highlight w:val="none"/>
          <w:lang w:eastAsia="zh-CN"/>
          <w14:textFill>
            <w14:solidFill>
              <w14:schemeClr w14:val="tx1"/>
            </w14:solidFill>
          </w14:textFill>
        </w:rPr>
      </w:pPr>
      <w:r>
        <w:rPr>
          <w:rFonts w:ascii="宋体" w:hAnsi="宋体" w:cs="宋体"/>
          <w:b/>
          <w:bCs/>
          <w:color w:val="000000" w:themeColor="text1"/>
          <w:spacing w:val="-20"/>
          <w:sz w:val="40"/>
          <w:szCs w:val="40"/>
          <w:highlight w:val="none"/>
          <w:lang w:eastAsia="zh-CN"/>
          <w14:textFill>
            <w14:solidFill>
              <w14:schemeClr w14:val="tx1"/>
            </w14:solidFill>
          </w14:textFill>
        </w:rPr>
      </w:r>
      <w:r/>
    </w:p>
    <w:p>
      <w:pPr>
        <w:rPr>
          <w:rFonts w:ascii="宋体" w:hAnsi="宋体" w:cs="宋体"/>
          <w:b/>
          <w:bCs/>
          <w:color w:val="000000" w:themeColor="text1"/>
          <w:spacing w:val="-20"/>
          <w:sz w:val="40"/>
          <w:szCs w:val="40"/>
          <w:highlight w:val="none"/>
          <w:lang w:eastAsia="zh-CN"/>
          <w14:textFill>
            <w14:solidFill>
              <w14:schemeClr w14:val="tx1"/>
            </w14:solidFill>
          </w14:textFill>
        </w:rPr>
      </w:pPr>
      <w:r>
        <w:rPr>
          <w:rFonts w:ascii="宋体" w:hAnsi="宋体" w:cs="宋体"/>
          <w:b/>
          <w:bCs/>
          <w:color w:val="000000" w:themeColor="text1"/>
          <w:spacing w:val="-20"/>
          <w:sz w:val="40"/>
          <w:szCs w:val="40"/>
          <w:highlight w:val="none"/>
          <w:lang w:eastAsia="zh-CN"/>
          <w14:textFill>
            <w14:solidFill>
              <w14:schemeClr w14:val="tx1"/>
            </w14:solidFill>
          </w14:textFill>
        </w:rPr>
      </w:r>
      <w:r/>
    </w:p>
    <w:p>
      <w:pPr>
        <w:rPr>
          <w:rFonts w:ascii="宋体" w:hAnsi="宋体" w:cs="宋体"/>
          <w:b/>
          <w:bCs/>
          <w:color w:val="000000" w:themeColor="text1"/>
          <w:spacing w:val="-20"/>
          <w:sz w:val="40"/>
          <w:szCs w:val="40"/>
          <w:highlight w:val="none"/>
          <w:lang w:eastAsia="zh-CN"/>
          <w14:textFill>
            <w14:solidFill>
              <w14:schemeClr w14:val="tx1"/>
            </w14:solidFill>
          </w14:textFill>
        </w:rPr>
      </w:pPr>
      <w:r>
        <w:rPr>
          <w:rFonts w:ascii="宋体" w:hAnsi="宋体" w:cs="宋体"/>
          <w:b/>
          <w:bCs/>
          <w:color w:val="000000" w:themeColor="text1"/>
          <w:spacing w:val="-20"/>
          <w:sz w:val="40"/>
          <w:szCs w:val="40"/>
          <w:highlight w:val="none"/>
          <w:lang w:eastAsia="zh-CN"/>
          <w14:textFill>
            <w14:solidFill>
              <w14:schemeClr w14:val="tx1"/>
            </w14:solidFill>
          </w14:textFill>
        </w:rPr>
      </w:r>
      <w:r/>
    </w:p>
    <w:p>
      <w:pPr>
        <w:ind w:left="440"/>
        <w:spacing w:line="360" w:lineRule="auto"/>
        <w:rPr>
          <w:rFonts w:ascii="宋体" w:hAnsi="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项目名称：</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                             </w:t>
      </w:r>
      <w:r/>
    </w:p>
    <w:p>
      <w:pPr>
        <w:ind w:left="440"/>
        <w:spacing w:line="360" w:lineRule="auto"/>
        <w:rPr>
          <w:rFonts w:ascii="宋体" w:hAnsi="宋体" w:cs="宋体"/>
          <w:color w:val="000000" w:themeColor="text1"/>
          <w:sz w:val="32"/>
          <w:szCs w:val="32"/>
          <w:highlight w:val="none"/>
          <w:u w:val="singl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合同编号：</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                             </w:t>
      </w:r>
      <w:r/>
    </w:p>
    <w:p>
      <w:pPr>
        <w:ind w:left="440"/>
        <w:spacing w:line="360" w:lineRule="auto"/>
        <w:rPr>
          <w:rFonts w:ascii="宋体" w:hAnsi="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甲    方：</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                             </w:t>
      </w:r>
      <w:r/>
    </w:p>
    <w:p>
      <w:pPr>
        <w:ind w:left="440"/>
        <w:spacing w:line="360" w:lineRule="auto"/>
        <w:rPr>
          <w:rFonts w:ascii="宋体" w:hAnsi="宋体" w:cs="宋体"/>
          <w:color w:val="000000" w:themeColor="text1"/>
          <w:sz w:val="32"/>
          <w:szCs w:val="32"/>
          <w:highlight w:val="none"/>
          <w:u w:val="singl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乙    方：</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                             </w:t>
      </w:r>
      <w:r/>
    </w:p>
    <w:p>
      <w:pPr>
        <w:ind w:left="440"/>
        <w:spacing w:line="360" w:lineRule="auto"/>
        <w:rPr>
          <w:rFonts w:ascii="宋体" w:hAnsi="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签订时间：</w:t>
      </w:r>
      <w:r>
        <w:rPr>
          <w:rFonts w:hint="eastAsia" w:ascii="宋体" w:hAnsi="宋体" w:cs="宋体"/>
          <w:color w:val="000000" w:themeColor="text1"/>
          <w:sz w:val="32"/>
          <w:szCs w:val="32"/>
          <w:highlight w:val="none"/>
          <w:u w:val="single"/>
          <w:lang w:eastAsia="zh-CN"/>
          <w14:textFill>
            <w14:solidFill>
              <w14:schemeClr w14:val="tx1"/>
            </w14:solidFill>
          </w14:textFill>
        </w:rPr>
        <w:t xml:space="preserve">                             </w:t>
      </w:r>
      <w:r/>
    </w:p>
    <w:p>
      <w:pPr>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r>
      <w:r/>
    </w:p>
    <w:p>
      <w:pPr>
        <w:rPr>
          <w:rFonts w:ascii="宋体" w:hAnsi="宋体" w:cs="宋体"/>
          <w:color w:val="000000" w:themeColor="text1"/>
          <w:sz w:val="44"/>
          <w:szCs w:val="44"/>
          <w:highlight w:val="none"/>
          <w:lang w:eastAsia="zh-CN"/>
          <w14:textFill>
            <w14:solidFill>
              <w14:schemeClr w14:val="tx1"/>
            </w14:solidFill>
          </w14:textFill>
        </w:rPr>
      </w:pPr>
      <w:r>
        <w:rPr>
          <w:rFonts w:hint="eastAsia" w:ascii="宋体" w:hAnsi="宋体" w:cs="宋体"/>
          <w:color w:val="000000" w:themeColor="text1"/>
          <w:sz w:val="44"/>
          <w:szCs w:val="44"/>
          <w:highlight w:val="none"/>
          <w:lang w:eastAsia="zh-CN"/>
          <w14:textFill>
            <w14:solidFill>
              <w14:schemeClr w14:val="tx1"/>
            </w14:solidFill>
          </w14:textFill>
        </w:rPr>
        <w:br w:type="page" w:clear="all"/>
      </w:r>
      <w:r/>
    </w:p>
    <w:p>
      <w:pPr>
        <w:rPr>
          <w:rFonts w:ascii="宋体" w:hAnsi="宋体" w:cs="宋体"/>
          <w:color w:val="000000" w:themeColor="text1"/>
          <w:sz w:val="44"/>
          <w:szCs w:val="44"/>
          <w:highlight w:val="none"/>
          <w:lang w:eastAsia="zh-CN"/>
          <w14:textFill>
            <w14:solidFill>
              <w14:schemeClr w14:val="tx1"/>
            </w14:solidFill>
          </w14:textFill>
        </w:rPr>
      </w:pPr>
      <w:r>
        <w:rPr>
          <w:rFonts w:ascii="宋体" w:hAnsi="宋体" w:cs="宋体"/>
          <w:color w:val="000000" w:themeColor="text1"/>
          <w:sz w:val="44"/>
          <w:szCs w:val="44"/>
          <w:highlight w:val="none"/>
          <w:lang w:eastAsia="zh-CN"/>
          <w14:textFill>
            <w14:solidFill>
              <w14:schemeClr w14:val="tx1"/>
            </w14:solidFill>
          </w14:textFill>
        </w:rPr>
      </w:r>
      <w:r/>
    </w:p>
    <w:p>
      <w:pPr>
        <w:rPr>
          <w:rFonts w:ascii="宋体" w:hAnsi="宋体" w:cs="宋体"/>
          <w:color w:val="000000" w:themeColor="text1"/>
          <w:sz w:val="44"/>
          <w:szCs w:val="44"/>
          <w:highlight w:val="none"/>
          <w:lang w:eastAsia="zh-CN"/>
          <w14:textFill>
            <w14:solidFill>
              <w14:schemeClr w14:val="tx1"/>
            </w14:solidFill>
          </w14:textFill>
        </w:rPr>
      </w:pPr>
      <w:r>
        <w:rPr>
          <w:rFonts w:ascii="宋体" w:hAnsi="宋体" w:cs="宋体"/>
          <w:color w:val="000000" w:themeColor="text1"/>
          <w:sz w:val="44"/>
          <w:szCs w:val="44"/>
          <w:highlight w:val="none"/>
          <w:lang w:eastAsia="zh-CN"/>
          <w14:textFill>
            <w14:solidFill>
              <w14:schemeClr w14:val="tx1"/>
            </w14:solidFill>
          </w14:textFill>
        </w:rPr>
      </w:r>
      <w:r/>
    </w:p>
    <w:p>
      <w:pPr>
        <w:jc w:val="center"/>
        <w:rPr>
          <w:rFonts w:ascii="宋体" w:hAnsi="宋体" w:cs="宋体"/>
          <w:color w:val="000000" w:themeColor="text1"/>
          <w:sz w:val="44"/>
          <w:szCs w:val="44"/>
          <w:highlight w:val="none"/>
          <w:lang w:eastAsia="zh-CN"/>
          <w14:textFill>
            <w14:solidFill>
              <w14:schemeClr w14:val="tx1"/>
            </w14:solidFill>
          </w14:textFill>
        </w:rPr>
      </w:pPr>
      <w:r>
        <w:rPr>
          <w:rFonts w:hint="eastAsia" w:ascii="宋体" w:hAnsi="宋体" w:cs="宋体"/>
          <w:color w:val="000000" w:themeColor="text1"/>
          <w:sz w:val="44"/>
          <w:szCs w:val="44"/>
          <w:highlight w:val="none"/>
          <w:lang w:eastAsia="zh-CN"/>
          <w14:textFill>
            <w14:solidFill>
              <w14:schemeClr w14:val="tx1"/>
            </w14:solidFill>
          </w14:textFill>
        </w:rPr>
        <w:t xml:space="preserve">使 用 说 明</w:t>
      </w:r>
      <w:r/>
    </w:p>
    <w:p>
      <w:pPr>
        <w:ind w:firstLine="640"/>
        <w:rPr>
          <w:rFonts w:ascii="宋体" w:hAnsi="宋体" w:cs="宋体"/>
          <w:color w:val="000000" w:themeColor="text1"/>
          <w:sz w:val="32"/>
          <w:szCs w:val="32"/>
          <w:highlight w:val="none"/>
          <w:lang w:eastAsia="zh-CN"/>
          <w14:textFill>
            <w14:solidFill>
              <w14:schemeClr w14:val="tx1"/>
            </w14:solidFill>
          </w14:textFill>
        </w:rPr>
      </w:pPr>
      <w:r>
        <w:rPr>
          <w:rFonts w:ascii="宋体" w:hAnsi="宋体" w:cs="宋体"/>
          <w:color w:val="000000" w:themeColor="text1"/>
          <w:sz w:val="32"/>
          <w:szCs w:val="32"/>
          <w:highlight w:val="none"/>
          <w:lang w:eastAsia="zh-CN"/>
          <w14:textFill>
            <w14:solidFill>
              <w14:schemeClr w14:val="tx1"/>
            </w14:solidFill>
          </w14:textFill>
        </w:rPr>
      </w:r>
      <w:r/>
    </w:p>
    <w:p>
      <w:pPr>
        <w:ind w:firstLine="640"/>
        <w:rPr>
          <w:rFonts w:ascii="宋体" w:hAnsi="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1.本合同标准文本适用于购买现成货物的采购项目，不包括需要供应商定制开发、创新研发的货物采购项目。</w:t>
      </w:r>
      <w:r/>
    </w:p>
    <w:p>
      <w:pPr>
        <w:rPr>
          <w:rFonts w:ascii="宋体" w:hAnsi="宋体" w:cs="宋体"/>
          <w:color w:val="000000" w:themeColor="text1"/>
          <w:sz w:val="44"/>
          <w:szCs w:val="44"/>
          <w:highlight w:val="none"/>
          <w:lang w:eastAsia="zh-CN"/>
          <w14:textFill>
            <w14:solidFill>
              <w14:schemeClr w14:val="tx1"/>
            </w14:solidFill>
          </w14:textFill>
        </w:rPr>
      </w:pPr>
      <w:r>
        <w:rPr>
          <w:rFonts w:hint="eastAsia" w:ascii="宋体" w:hAnsi="宋体" w:cs="宋体"/>
          <w:color w:val="000000" w:themeColor="text1"/>
          <w:sz w:val="44"/>
          <w:szCs w:val="44"/>
          <w:highlight w:val="none"/>
          <w:lang w:eastAsia="zh-CN"/>
          <w14:textFill>
            <w14:solidFill>
              <w14:schemeClr w14:val="tx1"/>
            </w14:solidFill>
          </w14:textFill>
        </w:rPr>
        <w:t xml:space="preserve">   </w:t>
      </w:r>
      <w:r>
        <w:rPr>
          <w:rFonts w:hint="eastAsia" w:ascii="宋体" w:hAnsi="宋体" w:cs="宋体"/>
          <w:color w:val="000000" w:themeColor="text1"/>
          <w:sz w:val="32"/>
          <w:szCs w:val="32"/>
          <w:highlight w:val="none"/>
          <w:lang w:eastAsia="zh-CN"/>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ascii="宋体" w:hAnsi="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ascii="宋体" w:hAnsi="宋体" w:cs="宋体"/>
          <w:color w:val="000000" w:themeColor="text1"/>
          <w:sz w:val="44"/>
          <w:szCs w:val="44"/>
          <w:highlight w:val="none"/>
          <w:lang w:eastAsia="zh-CN"/>
          <w14:textFill>
            <w14:solidFill>
              <w14:schemeClr w14:val="tx1"/>
            </w14:solidFill>
          </w14:textFill>
        </w:rPr>
        <w:sectPr>
          <w:footerReference w:type="default" r:id="rId9"/>
          <w:footnotePr/>
          <w:endnotePr/>
          <w:type w:val="nextPage"/>
          <w:pgSz w:w="11906" w:h="16838" w:orient="portrait"/>
          <w:pgMar w:top="1157" w:right="1236" w:bottom="1157" w:left="1236" w:header="851" w:footer="992" w:gutter="0"/>
          <w:cols w:num="1" w:sep="0" w:space="0" w:equalWidth="1"/>
          <w:docGrid w:linePitch="360"/>
        </w:sectPr>
      </w:pPr>
      <w:r>
        <w:rPr>
          <w:rFonts w:ascii="宋体" w:hAnsi="宋体" w:cs="宋体"/>
          <w:color w:val="000000" w:themeColor="text1"/>
          <w:sz w:val="44"/>
          <w:szCs w:val="44"/>
          <w:highlight w:val="none"/>
          <w:lang w:eastAsia="zh-CN"/>
          <w14:textFill>
            <w14:solidFill>
              <w14:schemeClr w14:val="tx1"/>
            </w14:solidFill>
          </w14:textFill>
        </w:rPr>
      </w:r>
      <w:bookmarkEnd w:id="32"/>
      <w:r/>
      <w:r/>
    </w:p>
    <w:p>
      <w:pPr>
        <w:spacing w:line="400" w:lineRule="exact"/>
        <w:rPr>
          <w:rFonts w:ascii="宋体" w:hAnsi="宋体" w:cs="宋体"/>
          <w:color w:val="000000" w:themeColor="text1"/>
          <w:highlight w:val="none"/>
          <w:lang w:eastAsia="zh-CN"/>
          <w14:textFill>
            <w14:solidFill>
              <w14:schemeClr w14:val="tx1"/>
            </w14:solidFill>
          </w14:textFill>
        </w:rPr>
      </w:pPr>
      <w:r/>
      <w:bookmarkStart w:id="33" w:name="_Toc22209"/>
      <w:r/>
      <w:r/>
    </w:p>
    <w:p>
      <w:pPr>
        <w:pStyle w:val="962"/>
        <w:jc w:val="center"/>
        <w:spacing w:line="400" w:lineRule="exact"/>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第一节 政府采购合同协议书</w:t>
      </w:r>
      <w:bookmarkEnd w:id="33"/>
      <w:r/>
      <w:r/>
    </w:p>
    <w:p>
      <w:pPr>
        <w:spacing w:line="400" w:lineRule="exact"/>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甲方（全称）：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（采购人、受采购人委托签订合同的单位或采购</w:t>
      </w:r>
      <w:r>
        <w:rPr>
          <w:rFonts w:hint="eastAsia" w:ascii="宋体" w:hAnsi="宋体" w:cs="宋体"/>
          <w:color w:val="000000" w:themeColor="text1"/>
          <w:szCs w:val="21"/>
          <w:highlight w:val="none"/>
          <w:lang w:eastAsia="zh-CN"/>
          <w14:textFill>
            <w14:solidFill>
              <w14:schemeClr w14:val="tx1"/>
            </w14:solidFill>
          </w14:textFill>
        </w:rPr>
        <w:tab/>
      </w:r>
      <w:r>
        <w:rPr>
          <w:rFonts w:hint="eastAsia" w:ascii="宋体" w:hAnsi="宋体" w:cs="宋体"/>
          <w:color w:val="000000" w:themeColor="text1"/>
          <w:szCs w:val="21"/>
          <w:highlight w:val="none"/>
          <w:lang w:eastAsia="zh-CN"/>
          <w14:textFill>
            <w14:solidFill>
              <w14:schemeClr w14:val="tx1"/>
            </w14:solidFill>
          </w14:textFill>
        </w:rPr>
        <w:t xml:space="preserve">                                   文件约定的合同甲方）</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乙方1（全称）：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（供应商）</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乙方2（全称）：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（联合体成员供应商或其他合同主体）（如有）</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szCs w:val="21"/>
          <w:highlight w:val="none"/>
          <w:lang w:eastAsia="zh-CN"/>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（全称）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（联合体成员供应商或其他合同主体）（如有）</w:t>
      </w:r>
      <w:r/>
    </w:p>
    <w:p>
      <w:pPr>
        <w:spacing w:line="400" w:lineRule="exact"/>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r>
      <w:r/>
    </w:p>
    <w:p>
      <w:pPr>
        <w:pStyle w:val="772"/>
        <w:ind w:firstLine="560"/>
        <w:spacing w:line="400" w:lineRule="exact"/>
        <w:rPr>
          <w:rFonts w:asciiTheme="minorEastAsia" w:hAnsiTheme="minorEastAsia" w:eastAsia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olor w:val="000000" w:themeColor="text1"/>
          <w:sz w:val="22"/>
          <w:szCs w:val="22"/>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40"/>
        <w:spacing w:line="400" w:lineRule="exact"/>
        <w:rPr>
          <w:rFonts w:cs="宋体" w:asciiTheme="minorEastAsia" w:hAnsiTheme="minorEastAsia" w:eastAsiaTheme="minorEastAsia"/>
          <w:b/>
          <w:color w:val="000000" w:themeColor="text1"/>
          <w:highlight w:val="none"/>
          <w14:textFill>
            <w14:solidFill>
              <w14:schemeClr w14:val="tx1"/>
            </w14:solidFill>
          </w14:textFill>
        </w:rPr>
      </w:pPr>
      <w:r>
        <w:rPr>
          <w:rFonts w:hint="eastAsia" w:cs="宋体" w:asciiTheme="minorEastAsia" w:hAnsiTheme="minorEastAsia" w:eastAsiaTheme="minorEastAsia"/>
          <w:b/>
          <w:color w:val="000000" w:themeColor="text1"/>
          <w:highlight w:val="none"/>
          <w14:textFill>
            <w14:solidFill>
              <w14:schemeClr w14:val="tx1"/>
            </w14:solidFill>
          </w14:textFill>
        </w:rPr>
        <w:t xml:space="preserve">项目信息</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采购项目名称：</w:t>
      </w:r>
      <w:r>
        <w:rPr>
          <w:rFonts w:hint="eastAsia" w:ascii="宋体" w:hAnsi="宋体" w:cs="宋体"/>
          <w:color w:val="000000" w:themeColor="text1"/>
          <w:szCs w:val="21"/>
          <w:highlight w:val="none"/>
          <w14:textFill>
            <w14:solidFill>
              <w14:schemeClr w14:val="tx1"/>
            </w14:solidFill>
          </w14:textFill>
        </w:rPr>
        <w:t xml:space="preserve">                                          </w:t>
      </w:r>
      <w:r/>
    </w:p>
    <w:p>
      <w:pPr>
        <w:ind w:firstLine="440"/>
        <w:spacing w:line="400" w:lineRule="exact"/>
        <w:rPr>
          <w:rFonts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     采购项目编号：                                          </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）采购计划编号：</w:t>
      </w:r>
      <w:r>
        <w:rPr>
          <w:rFonts w:hint="eastAsia" w:ascii="宋体" w:hAnsi="宋体" w:cs="宋体"/>
          <w:color w:val="000000" w:themeColor="text1"/>
          <w:szCs w:val="21"/>
          <w:highlight w:val="none"/>
          <w14:textFill>
            <w14:solidFill>
              <w14:schemeClr w14:val="tx1"/>
            </w14:solidFill>
          </w14:textFill>
        </w:rPr>
        <w:t xml:space="preserve">                                           </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（3）项目内容：</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采购标的及数量（台/套</w:t>
      </w:r>
      <w:r>
        <w:rPr>
          <w:rFonts w:hint="eastAsia" w:ascii="宋体" w:hAnsi="宋体" w:cs="宋体"/>
          <w:color w:val="000000" w:themeColor="text1"/>
          <w:szCs w:val="21"/>
          <w:highlight w:val="none"/>
          <w:lang w:val="en" w:eastAsia="zh-CN"/>
          <w14:textFill>
            <w14:solidFill>
              <w14:schemeClr w14:val="tx1"/>
            </w14:solidFill>
          </w14:textFill>
        </w:rPr>
        <w:t xml:space="preserve">/个/架/组等</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w:t>
      </w:r>
      <w:r/>
    </w:p>
    <w:p>
      <w:pPr>
        <w:ind w:firstLine="440"/>
        <w:spacing w:line="400" w:lineRule="exact"/>
        <w:rPr>
          <w:rFonts w:ascii="宋体" w:hAnsi="宋体" w:cs="宋体"/>
          <w:color w:val="000000" w:themeColor="text1"/>
          <w:szCs w:val="21"/>
          <w:highlight w:val="none"/>
          <w:lang w:val="en"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品牌：</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val="en"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val="en"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val="en"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规格型号：</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val="en"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val="en" w:eastAsia="zh-CN"/>
          <w14:textFill>
            <w14:solidFill>
              <w14:schemeClr w14:val="tx1"/>
            </w14:solidFill>
          </w14:textFill>
        </w:rPr>
        <w:t xml:space="preserve">   </w:t>
      </w:r>
      <w:r/>
    </w:p>
    <w:p>
      <w:pPr>
        <w:ind w:firstLine="99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采购标的的技术要求、商务要求具体见附件。</w:t>
      </w:r>
      <w:r/>
    </w:p>
    <w:p>
      <w:pPr>
        <w:ind w:firstLine="99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①涉及信息类产品，请填写该产品关键部件的品牌、型号：</w:t>
      </w:r>
      <w:r/>
    </w:p>
    <w:p>
      <w:pPr>
        <w:ind w:firstLine="44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标的名称：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val="en"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关键部件：</w:t>
      </w:r>
      <w:r>
        <w:rPr>
          <w:rFonts w:hint="eastAsia" w:ascii="宋体" w:hAnsi="宋体" w:cs="宋体"/>
          <w:color w:val="000000" w:themeColor="text1"/>
          <w:highlight w:val="none"/>
          <w:u w:val="single"/>
          <w:lang w:eastAsia="zh-CN"/>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 品牌：</w:t>
      </w:r>
      <w:r>
        <w:rPr>
          <w:rFonts w:hint="eastAsia" w:ascii="宋体" w:hAnsi="宋体" w:cs="宋体"/>
          <w:color w:val="000000" w:themeColor="text1"/>
          <w:highlight w:val="none"/>
          <w:u w:val="single"/>
          <w:lang w:eastAsia="zh-CN"/>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 型号：</w:t>
      </w:r>
      <w:r>
        <w:rPr>
          <w:rFonts w:hint="eastAsia" w:ascii="宋体" w:hAnsi="宋体" w:cs="宋体"/>
          <w:color w:val="000000" w:themeColor="text1"/>
          <w:highlight w:val="none"/>
          <w:u w:val="single"/>
          <w:lang w:eastAsia="zh-CN"/>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 </w:t>
      </w:r>
      <w:r/>
    </w:p>
    <w:p>
      <w:pPr>
        <w:ind w:firstLine="440"/>
        <w:spacing w:line="400" w:lineRule="exact"/>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关键部件：</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 品牌：</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 型号：</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 </w:t>
      </w:r>
      <w:r/>
    </w:p>
    <w:p>
      <w:pPr>
        <w:ind w:firstLine="440"/>
        <w:spacing w:line="400" w:lineRule="exact"/>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     关键部件：</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 品牌：</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 型号：</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p>
    <w:p>
      <w:pPr>
        <w:pStyle w:val="963"/>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963"/>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②涉及车辆采购，请填写是否属于新能源汽车：</w:t>
      </w:r>
      <w:r/>
    </w:p>
    <w:p>
      <w:pPr>
        <w:pStyle w:val="963"/>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963"/>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否</w:t>
      </w:r>
      <w:r/>
    </w:p>
    <w:p>
      <w:pPr>
        <w:pStyle w:val="963"/>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）政府采购组织形式：政府集中采购  部门集中采购  分散采购</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lang w:val="en"/>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）政府采购方式：公开招标 邀请招标 竞争性谈判 竞争性磋商</w:t>
      </w:r>
      <w:r/>
    </w:p>
    <w:p>
      <w:pPr>
        <w:pStyle w:val="963"/>
        <w:ind w:firstLine="420"/>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询价 单一来源 框架协议 其他：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963"/>
        <w:ind w:firstLine="2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中标（成交）采购标的制造商是否为中小企业：是      否</w:t>
      </w:r>
      <w:r/>
    </w:p>
    <w:p>
      <w:pPr>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本合同是否为专门面向中小企业的采购合同（中小企业预留合同）：</w:t>
      </w:r>
      <w:r>
        <w:rPr>
          <w:rFonts w:hint="eastAsia" w:ascii="宋体" w:hAnsi="宋体" w:cs="宋体"/>
          <w:iCs/>
          <w:color w:val="000000" w:themeColor="text1"/>
          <w:szCs w:val="21"/>
          <w:highlight w:val="none"/>
          <w:lang w:eastAsia="zh-CN"/>
          <w14:textFill>
            <w14:solidFill>
              <w14:schemeClr w14:val="tx1"/>
            </w14:solidFill>
          </w14:textFill>
        </w:rPr>
        <w:t xml:space="preserve">是    否</w:t>
      </w:r>
      <w:r/>
    </w:p>
    <w:p>
      <w:pPr>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若本项目不专门面向中小企业采购，是否给予小微企业评审优惠：</w:t>
      </w:r>
      <w:r>
        <w:rPr>
          <w:rFonts w:hint="eastAsia" w:ascii="宋体" w:hAnsi="宋体" w:cs="宋体"/>
          <w:iCs/>
          <w:color w:val="000000" w:themeColor="text1"/>
          <w:szCs w:val="21"/>
          <w:highlight w:val="none"/>
          <w:lang w:eastAsia="zh-CN"/>
          <w14:textFill>
            <w14:solidFill>
              <w14:schemeClr w14:val="tx1"/>
            </w14:solidFill>
          </w14:textFill>
        </w:rPr>
        <w:t xml:space="preserve">是   否</w:t>
      </w:r>
      <w:r/>
    </w:p>
    <w:p>
      <w:pPr>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中标（成交）采购标的制造商是否为残疾人福利性单位：</w:t>
      </w:r>
      <w:r>
        <w:rPr>
          <w:rFonts w:hint="eastAsia" w:ascii="宋体" w:hAnsi="宋体" w:cs="宋体"/>
          <w:iCs/>
          <w:color w:val="000000" w:themeColor="text1"/>
          <w:szCs w:val="21"/>
          <w:highlight w:val="none"/>
          <w:lang w:eastAsia="zh-CN"/>
          <w14:textFill>
            <w14:solidFill>
              <w14:schemeClr w14:val="tx1"/>
            </w14:solidFill>
          </w14:textFill>
        </w:rPr>
        <w:t xml:space="preserve">是   否</w:t>
      </w:r>
      <w:r/>
    </w:p>
    <w:p>
      <w:pPr>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         中标（成交）采购标的制造商是否为监狱企业：</w:t>
      </w:r>
      <w:r>
        <w:rPr>
          <w:rFonts w:hint="eastAsia" w:ascii="宋体" w:hAnsi="宋体" w:cs="宋体"/>
          <w:iCs/>
          <w:color w:val="000000" w:themeColor="text1"/>
          <w:szCs w:val="21"/>
          <w:highlight w:val="none"/>
          <w:lang w:eastAsia="zh-CN"/>
          <w14:textFill>
            <w14:solidFill>
              <w14:schemeClr w14:val="tx1"/>
            </w14:solidFill>
          </w14:textFill>
        </w:rPr>
        <w:t xml:space="preserve">是       否</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）合同是否分包：</w:t>
      </w:r>
      <w:r>
        <w:rPr>
          <w:rFonts w:hint="eastAsia" w:ascii="宋体" w:hAnsi="宋体" w:cs="宋体"/>
          <w:iCs/>
          <w:color w:val="000000" w:themeColor="text1"/>
          <w:szCs w:val="21"/>
          <w:highlight w:val="none"/>
          <w14:textFill>
            <w14:solidFill>
              <w14:schemeClr w14:val="tx1"/>
            </w14:solidFill>
          </w14:textFill>
        </w:rPr>
        <w:t xml:space="preserve">是       否</w:t>
      </w:r>
      <w:r/>
    </w:p>
    <w:p>
      <w:pPr>
        <w:ind w:firstLine="88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分包主要内容：</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88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分包供应商/制造商名称（如供应商和制造商不同，请分别填写）：</w:t>
      </w:r>
      <w:r/>
    </w:p>
    <w:p>
      <w:pPr>
        <w:ind w:firstLine="88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88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分包供应商/制造商类型（如果供应商和制造商不同，只填写制造商类型）：</w:t>
      </w:r>
      <w:r/>
    </w:p>
    <w:p>
      <w:pPr>
        <w:ind w:firstLine="880"/>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大型企业  中型企业  小微型企业  </w:t>
      </w:r>
      <w:r/>
    </w:p>
    <w:p>
      <w:pPr>
        <w:ind w:firstLine="88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残疾人福利性单位 监狱企业 其他</w:t>
      </w:r>
      <w:r/>
    </w:p>
    <w:p>
      <w:pPr>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lang w:val="en" w:eastAsia="zh-CN"/>
          <w14:textFill>
            <w14:solidFill>
              <w14:schemeClr w14:val="tx1"/>
            </w14:solidFill>
          </w14:textFill>
        </w:rPr>
        <w:t xml:space="preserve">8</w:t>
      </w:r>
      <w:r>
        <w:rPr>
          <w:rFonts w:hint="eastAsia" w:ascii="宋体" w:hAnsi="宋体" w:cs="宋体"/>
          <w:color w:val="000000" w:themeColor="text1"/>
          <w:szCs w:val="21"/>
          <w:highlight w:val="none"/>
          <w:lang w:eastAsia="zh-CN"/>
          <w14:textFill>
            <w14:solidFill>
              <w14:schemeClr w14:val="tx1"/>
            </w14:solidFill>
          </w14:textFill>
        </w:rPr>
        <w:t xml:space="preserve">）中标（成交）供应商是否为外商投资企业：</w:t>
      </w:r>
      <w:r>
        <w:rPr>
          <w:rFonts w:hint="eastAsia" w:ascii="宋体" w:hAnsi="宋体" w:cs="宋体"/>
          <w:iCs/>
          <w:color w:val="000000" w:themeColor="text1"/>
          <w:szCs w:val="21"/>
          <w:highlight w:val="none"/>
          <w:lang w:eastAsia="zh-CN"/>
          <w14:textFill>
            <w14:solidFill>
              <w14:schemeClr w14:val="tx1"/>
            </w14:solidFill>
          </w14:textFill>
        </w:rPr>
        <w:t xml:space="preserve">是       否</w:t>
      </w:r>
      <w:r/>
    </w:p>
    <w:p>
      <w:pPr>
        <w:pStyle w:val="963"/>
        <w:ind w:firstLine="420"/>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hint="eastAsia" w:ascii="宋体" w:hAnsi="宋体" w:eastAsia="宋体" w:cs="宋体"/>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 w:eastAsia="zh-CN"/>
          <w14:textFill>
            <w14:solidFill>
              <w14:schemeClr w14:val="tx1"/>
            </w14:solidFill>
          </w14:textFill>
        </w:rPr>
        <w:t xml:space="preserve">9</w:t>
      </w:r>
      <w:r>
        <w:rPr>
          <w:rFonts w:hint="eastAsia" w:ascii="宋体" w:hAnsi="宋体" w:cs="宋体"/>
          <w:color w:val="000000" w:themeColor="text1"/>
          <w:szCs w:val="21"/>
          <w:highlight w:val="none"/>
          <w:lang w:eastAsia="zh-CN"/>
          <w14:textFill>
            <w14:solidFill>
              <w14:schemeClr w14:val="tx1"/>
            </w14:solidFill>
          </w14:textFill>
        </w:rPr>
        <w:t xml:space="preserve">）是否涉及进口产品：</w:t>
      </w:r>
      <w:r/>
    </w:p>
    <w:p>
      <w:pPr>
        <w:ind w:firstLine="88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是，《政府采购品目分类目录》底级品目名称：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金额：</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88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国别：</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品牌：</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规格型号：</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      </w:t>
      </w:r>
      <w:r/>
    </w:p>
    <w:p>
      <w:pPr>
        <w:ind w:firstLine="88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否</w:t>
      </w:r>
      <w:r/>
    </w:p>
    <w:p>
      <w:pPr>
        <w:spacing w:line="400" w:lineRule="exact"/>
        <w:tabs>
          <w:tab w:val="left" w:pos="740"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（1</w:t>
      </w:r>
      <w:r>
        <w:rPr>
          <w:rFonts w:hint="eastAsia" w:ascii="宋体" w:hAnsi="宋体" w:cs="宋体"/>
          <w:color w:val="000000" w:themeColor="text1"/>
          <w:szCs w:val="21"/>
          <w:highlight w:val="none"/>
          <w:lang w:val="en" w:eastAsia="zh-CN"/>
          <w14:textFill>
            <w14:solidFill>
              <w14:schemeClr w14:val="tx1"/>
            </w14:solidFill>
          </w14:textFill>
        </w:rPr>
        <w:t xml:space="preserve">0</w:t>
      </w:r>
      <w:r>
        <w:rPr>
          <w:rFonts w:hint="eastAsia" w:ascii="宋体" w:hAnsi="宋体" w:cs="宋体"/>
          <w:color w:val="000000" w:themeColor="text1"/>
          <w:szCs w:val="21"/>
          <w:highlight w:val="none"/>
          <w:lang w:eastAsia="zh-CN"/>
          <w14:textFill>
            <w14:solidFill>
              <w14:schemeClr w14:val="tx1"/>
            </w14:solidFill>
          </w14:textFill>
        </w:rPr>
        <w:t xml:space="preserve">）是否涉及节能产品：</w:t>
      </w:r>
      <w:r/>
    </w:p>
    <w:p>
      <w:pPr>
        <w:spacing w:line="400" w:lineRule="exact"/>
        <w:tabs>
          <w:tab w:val="left" w:pos="740" w:leader="none"/>
        </w:tabs>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是，《节能产品政府采购品目清单》的底级品目名称：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iCs/>
          <w:color w:val="000000" w:themeColor="text1"/>
          <w:szCs w:val="21"/>
          <w:highlight w:val="none"/>
          <w:lang w:eastAsia="zh-CN"/>
          <w14:textFill>
            <w14:solidFill>
              <w14:schemeClr w14:val="tx1"/>
            </w14:solidFill>
          </w14:textFill>
        </w:rPr>
        <w:t xml:space="preserve">     </w:t>
      </w:r>
      <w:r/>
    </w:p>
    <w:p>
      <w:pPr>
        <w:spacing w:line="400" w:lineRule="exact"/>
        <w:tabs>
          <w:tab w:val="left" w:pos="740" w:leader="none"/>
        </w:tabs>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强制采购       优先采购    </w:t>
      </w:r>
      <w:r/>
    </w:p>
    <w:p>
      <w:pPr>
        <w:spacing w:line="400" w:lineRule="exact"/>
        <w:tabs>
          <w:tab w:val="left" w:pos="740"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否</w:t>
      </w:r>
      <w:r/>
    </w:p>
    <w:p>
      <w:pPr>
        <w:spacing w:line="400" w:lineRule="exact"/>
        <w:tabs>
          <w:tab w:val="left" w:pos="740"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是否涉及环境标志产品：</w:t>
      </w:r>
      <w:r/>
    </w:p>
    <w:p>
      <w:pPr>
        <w:spacing w:line="400" w:lineRule="exact"/>
        <w:tabs>
          <w:tab w:val="left" w:pos="740"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是，《环境标志产品政府采购品目清单》的底级品目名称：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iCs/>
          <w:color w:val="000000" w:themeColor="text1"/>
          <w:szCs w:val="21"/>
          <w:highlight w:val="none"/>
          <w:lang w:eastAsia="zh-CN"/>
          <w14:textFill>
            <w14:solidFill>
              <w14:schemeClr w14:val="tx1"/>
            </w14:solidFill>
          </w14:textFill>
        </w:rPr>
        <w:t xml:space="preserve"> </w:t>
      </w:r>
      <w:r/>
    </w:p>
    <w:p>
      <w:pPr>
        <w:spacing w:line="400" w:lineRule="exact"/>
        <w:tabs>
          <w:tab w:val="left" w:pos="740" w:leader="none"/>
        </w:tabs>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强制采购       优先采购    </w:t>
      </w:r>
      <w:r/>
    </w:p>
    <w:p>
      <w:pPr>
        <w:spacing w:line="400" w:lineRule="exact"/>
        <w:tabs>
          <w:tab w:val="left" w:pos="740"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否</w:t>
      </w:r>
      <w:r/>
    </w:p>
    <w:p>
      <w:pPr>
        <w:pStyle w:val="963"/>
        <w:ind w:firstLine="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是否涉及绿色产品： </w:t>
      </w:r>
      <w:r/>
    </w:p>
    <w:p>
      <w:pPr>
        <w:pStyle w:val="963"/>
        <w:ind w:firstLine="420"/>
        <w:rPr>
          <w:rFonts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是，绿色产品政府采购相关政策确定的底级品目名称：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spacing w:line="400" w:lineRule="exact"/>
        <w:tabs>
          <w:tab w:val="left" w:pos="740" w:leader="none"/>
        </w:tabs>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强制采购       优先采购    </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否</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（1</w:t>
      </w:r>
      <w:r>
        <w:rPr>
          <w:rFonts w:hint="eastAsia" w:ascii="宋体" w:hAnsi="宋体" w:cs="宋体"/>
          <w:color w:val="000000" w:themeColor="text1"/>
          <w:szCs w:val="21"/>
          <w:highlight w:val="none"/>
          <w:lang w:val="en" w:eastAsia="zh-CN"/>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8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       否      不涉及</w:t>
      </w:r>
      <w:r/>
    </w:p>
    <w:p>
      <w:pPr>
        <w:numPr>
          <w:ilvl w:val="0"/>
          <w:numId w:val="3"/>
        </w:numPr>
        <w:ind w:firstLine="44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合同金额</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（1）合同金额小写：</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大写：</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分包金额（如有）小写：</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大写：</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（注：固定单价合同应填写单价和最高限价）</w:t>
      </w:r>
      <w:r/>
    </w:p>
    <w:p>
      <w:pPr>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（2）合同定价方式（采用组合定价方式的，可以勾选多项）：</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  固定总价 固定单价 固定费率 成本补偿 绩效激励 其他</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pStyle w:val="964"/>
        <w:ind w:firstLine="440"/>
        <w:spacing w:line="400" w:lineRule="exact"/>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（3）付款方式（按项目实际勾选填写）：</w:t>
      </w:r>
      <w:r/>
    </w:p>
    <w:p>
      <w:pPr>
        <w:ind w:firstLine="66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全额付款：</w:t>
      </w:r>
      <w:r>
        <w:rPr>
          <w:rFonts w:hint="eastAsia" w:ascii="宋体" w:hAnsi="宋体" w:cs="宋体"/>
          <w:color w:val="000000" w:themeColor="text1"/>
          <w:szCs w:val="21"/>
          <w:highlight w:val="none"/>
          <w:u w:val="single"/>
          <w:lang w:eastAsia="zh-CN"/>
          <w14:textFill>
            <w14:solidFill>
              <w14:schemeClr w14:val="tx1"/>
            </w14:solidFill>
          </w14:textFill>
        </w:rPr>
        <w:t xml:space="preserve">     （应明确一次性支付合同款项的条件）                    </w:t>
      </w:r>
      <w:r/>
    </w:p>
    <w:p>
      <w:pPr>
        <w:ind w:firstLine="66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分期付款：</w:t>
      </w:r>
      <w:r>
        <w:rPr>
          <w:rFonts w:hint="eastAsia" w:ascii="宋体" w:hAnsi="宋体" w:cs="宋体"/>
          <w:color w:val="000000" w:themeColor="text1"/>
          <w:szCs w:val="21"/>
          <w:highlight w:val="none"/>
          <w:u w:val="single"/>
          <w:lang w:eastAsia="zh-CN"/>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s="宋体"/>
          <w:color w:val="000000" w:themeColor="text1"/>
          <w:szCs w:val="21"/>
          <w:highlight w:val="none"/>
          <w:lang w:eastAsia="zh-CN"/>
          <w14:textFill>
            <w14:solidFill>
              <w14:schemeClr w14:val="tx1"/>
            </w14:solidFill>
          </w14:textFill>
        </w:rPr>
        <w:t xml:space="preserve">，其中涉及预付款的：</w:t>
      </w:r>
      <w:r>
        <w:rPr>
          <w:rFonts w:hint="eastAsia" w:ascii="宋体" w:hAnsi="宋体" w:cs="宋体"/>
          <w:color w:val="000000" w:themeColor="text1"/>
          <w:szCs w:val="21"/>
          <w:highlight w:val="none"/>
          <w:u w:val="single"/>
          <w:lang w:eastAsia="zh-CN"/>
          <w14:textFill>
            <w14:solidFill>
              <w14:schemeClr w14:val="tx1"/>
            </w14:solidFill>
          </w14:textFill>
        </w:rPr>
        <w:t xml:space="preserve"> （应明确预付款的支付比例和支付条件） </w:t>
      </w:r>
      <w:r/>
    </w:p>
    <w:p>
      <w:pPr>
        <w:ind w:firstLine="66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成本补偿：</w:t>
      </w:r>
      <w:r>
        <w:rPr>
          <w:rFonts w:hint="eastAsia" w:ascii="宋体" w:hAnsi="宋体" w:cs="宋体"/>
          <w:color w:val="000000" w:themeColor="text1"/>
          <w:szCs w:val="21"/>
          <w:highlight w:val="none"/>
          <w:u w:val="single"/>
          <w:lang w:eastAsia="zh-CN"/>
          <w14:textFill>
            <w14:solidFill>
              <w14:schemeClr w14:val="tx1"/>
            </w14:solidFill>
          </w14:textFill>
        </w:rPr>
        <w:t xml:space="preserve">      （应明确按照成本补偿方式的支付方式和支付条件）   </w:t>
      </w:r>
      <w:r/>
    </w:p>
    <w:p>
      <w:pPr>
        <w:ind w:firstLine="66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绩效激励：</w:t>
      </w:r>
      <w:r>
        <w:rPr>
          <w:rFonts w:hint="eastAsia" w:ascii="宋体" w:hAnsi="宋体" w:cs="宋体"/>
          <w:color w:val="000000" w:themeColor="text1"/>
          <w:szCs w:val="21"/>
          <w:highlight w:val="none"/>
          <w:u w:val="single"/>
          <w:lang w:eastAsia="zh-CN"/>
          <w14:textFill>
            <w14:solidFill>
              <w14:schemeClr w14:val="tx1"/>
            </w14:solidFill>
          </w14:textFill>
        </w:rPr>
        <w:t xml:space="preserve">      （应明确按照绩效激励方式的支付方式和支付条件）   </w:t>
      </w:r>
      <w:r/>
    </w:p>
    <w:p>
      <w:pPr>
        <w:numPr>
          <w:ilvl w:val="0"/>
          <w:numId w:val="3"/>
        </w:numPr>
        <w:ind w:firstLine="440"/>
        <w:spacing w:line="400" w:lineRule="exact"/>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合同履行</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44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（2）履约地点</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（3）履约担保：</w:t>
      </w:r>
      <w:r>
        <w:rPr>
          <w:rFonts w:hint="eastAsia" w:ascii="宋体" w:hAnsi="宋体" w:cs="宋体"/>
          <w:color w:val="000000" w:themeColor="text1"/>
          <w:highlight w:val="none"/>
          <w:lang w:eastAsia="zh-CN"/>
          <w14:textFill>
            <w14:solidFill>
              <w14:schemeClr w14:val="tx1"/>
            </w14:solidFill>
          </w14:textFill>
        </w:rPr>
        <w:t xml:space="preserve">是否收取履约保证金：</w:t>
      </w:r>
      <w:r>
        <w:rPr>
          <w:rFonts w:hint="eastAsia" w:ascii="宋体" w:hAnsi="宋体" w:cs="宋体"/>
          <w:color w:val="000000" w:themeColor="text1"/>
          <w:szCs w:val="21"/>
          <w:highlight w:val="none"/>
          <w:lang w:eastAsia="zh-CN"/>
          <w14:textFill>
            <w14:solidFill>
              <w14:schemeClr w14:val="tx1"/>
            </w14:solidFill>
          </w14:textFill>
        </w:rPr>
        <w:t xml:space="preserve">是    </w:t>
      </w:r>
      <w:r/>
    </w:p>
    <w:p>
      <w:pPr>
        <w:pStyle w:val="963"/>
        <w:rPr>
          <w:rFonts w:ascii="宋体" w:hAnsi="宋体" w:cs="宋体" w:eastAsiaTheme="minorHAnsi"/>
          <w:color w:val="000000" w:themeColor="text1"/>
          <w:szCs w:val="2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  </w:t>
      </w:r>
      <w:r>
        <w:rPr>
          <w:rFonts w:ascii="宋体" w:hAnsi="宋体" w:cs="宋体" w:eastAsiaTheme="minorHAnsi"/>
          <w:color w:val="000000" w:themeColor="text1"/>
          <w:szCs w:val="22"/>
          <w:highlight w:val="none"/>
          <w14:textFill>
            <w14:solidFill>
              <w14:schemeClr w14:val="tx1"/>
            </w14:solidFill>
          </w14:textFill>
        </w:rPr>
        <w:t xml:space="preserve">  收取履约保证金形式：   </w:t>
      </w:r>
      <w:r>
        <w:rPr>
          <w:rFonts w:hint="eastAsia" w:ascii="宋体" w:hAnsi="宋体" w:cs="宋体" w:eastAsiaTheme="minorHAnsi"/>
          <w:color w:val="000000" w:themeColor="text1"/>
          <w:szCs w:val="22"/>
          <w:highlight w:val="none"/>
          <w14:textFill>
            <w14:solidFill>
              <w14:schemeClr w14:val="tx1"/>
            </w14:solidFill>
          </w14:textFill>
        </w:rPr>
        <w:t xml:space="preserve">履约保</w:t>
      </w:r>
      <w:r>
        <w:rPr>
          <w:rFonts w:hint="eastAsia" w:ascii="宋体" w:hAnsi="宋体" w:cs="宋体" w:eastAsiaTheme="minorEastAsia"/>
          <w:color w:val="000000" w:themeColor="text1"/>
          <w:szCs w:val="22"/>
          <w:highlight w:val="none"/>
          <w14:textFill>
            <w14:solidFill>
              <w14:schemeClr w14:val="tx1"/>
            </w14:solidFill>
          </w14:textFill>
        </w:rPr>
        <w:t xml:space="preserve">证金</w:t>
      </w:r>
      <w:r>
        <w:rPr>
          <w:rFonts w:ascii="宋体" w:hAnsi="宋体" w:cs="宋体" w:eastAsiaTheme="minorHAnsi"/>
          <w:color w:val="000000" w:themeColor="text1"/>
          <w:szCs w:val="22"/>
          <w:highlight w:val="none"/>
          <w14:textFill>
            <w14:solidFill>
              <w14:schemeClr w14:val="tx1"/>
            </w14:solidFill>
          </w14:textFill>
        </w:rPr>
        <w:t xml:space="preserve">                           </w:t>
      </w:r>
      <w:r/>
    </w:p>
    <w:p>
      <w:pPr>
        <w:pStyle w:val="963"/>
        <w:ind w:firstLine="420"/>
        <w:rPr>
          <w:rFonts w:ascii="宋体" w:hAnsi="宋体" w:cs="宋体" w:eastAsiaTheme="minorHAnsi"/>
          <w:color w:val="000000" w:themeColor="text1"/>
          <w:szCs w:val="22"/>
          <w:highlight w:val="none"/>
          <w14:textFill>
            <w14:solidFill>
              <w14:schemeClr w14:val="tx1"/>
            </w14:solidFill>
          </w14:textFill>
        </w:rPr>
      </w:pPr>
      <w:r>
        <w:rPr>
          <w:rFonts w:ascii="宋体" w:hAnsi="宋体" w:cs="宋体" w:eastAsiaTheme="minorHAnsi"/>
          <w:color w:val="000000" w:themeColor="text1"/>
          <w:szCs w:val="22"/>
          <w:highlight w:val="none"/>
          <w14:textFill>
            <w14:solidFill>
              <w14:schemeClr w14:val="tx1"/>
            </w14:solidFill>
          </w14:textFill>
        </w:rPr>
        <w:t xml:space="preserve">    收取履约保证金金额：   </w:t>
      </w:r>
      <w:r>
        <w:rPr>
          <w:rFonts w:hint="eastAsia" w:ascii="宋体" w:hAnsi="宋体" w:cs="宋体" w:eastAsiaTheme="minorHAnsi"/>
          <w:color w:val="000000" w:themeColor="text1"/>
          <w:szCs w:val="22"/>
          <w:highlight w:val="none"/>
          <w14:textFill>
            <w14:solidFill>
              <w14:schemeClr w14:val="tx1"/>
            </w14:solidFill>
          </w14:textFill>
        </w:rPr>
        <w:t xml:space="preserve">中标合同价的</w:t>
      </w:r>
      <w:r>
        <w:rPr>
          <w:rFonts w:ascii="宋体" w:hAnsi="宋体" w:cs="宋体" w:eastAsiaTheme="minorHAnsi"/>
          <w:color w:val="000000" w:themeColor="text1"/>
          <w:szCs w:val="22"/>
          <w:highlight w:val="none"/>
          <w14:textFill>
            <w14:solidFill>
              <w14:schemeClr w14:val="tx1"/>
            </w14:solidFill>
          </w14:textFill>
        </w:rPr>
        <w:t xml:space="preserve">5%                         </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    履约担保期限：       </w:t>
      </w:r>
      <w:r>
        <w:rPr>
          <w:rFonts w:hint="eastAsia" w:ascii="宋体" w:hAnsi="宋体" w:eastAsia="宋体" w:cs="宋体"/>
          <w:color w:val="000000" w:themeColor="text1"/>
          <w:highlight w:val="none"/>
          <w:lang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项目验收合格</w:t>
      </w:r>
      <w:r>
        <w:rPr>
          <w:rFonts w:hint="eastAsia" w:ascii="宋体" w:hAnsi="宋体" w:cs="宋体" w:eastAsiaTheme="minorEastAsia"/>
          <w:color w:val="000000" w:themeColor="text1"/>
          <w:sz w:val="24"/>
          <w:highlight w:val="none"/>
          <w:lang w:eastAsia="zh-CN"/>
          <w14:textFill>
            <w14:solidFill>
              <w14:schemeClr w14:val="tx1"/>
            </w14:solidFill>
          </w14:textFill>
        </w:rPr>
        <w:t xml:space="preserve">无质量问题后，采购人在1</w:t>
      </w:r>
      <w:r>
        <w:rPr>
          <w:rFonts w:ascii="宋体" w:hAnsi="宋体" w:cs="宋体" w:eastAsiaTheme="minorEastAsia"/>
          <w:color w:val="000000" w:themeColor="text1"/>
          <w:sz w:val="24"/>
          <w:highlight w:val="none"/>
          <w:lang w:eastAsia="zh-CN"/>
          <w14:textFill>
            <w14:solidFill>
              <w14:schemeClr w14:val="tx1"/>
            </w14:solidFill>
          </w14:textFill>
        </w:rPr>
        <w:t xml:space="preserve">5</w:t>
      </w:r>
      <w:r>
        <w:rPr>
          <w:rFonts w:hint="eastAsia" w:ascii="宋体" w:hAnsi="宋体" w:cs="宋体" w:eastAsiaTheme="minorEastAsia"/>
          <w:color w:val="000000" w:themeColor="text1"/>
          <w:sz w:val="24"/>
          <w:highlight w:val="none"/>
          <w:lang w:eastAsia="zh-CN"/>
          <w14:textFill>
            <w14:solidFill>
              <w14:schemeClr w14:val="tx1"/>
            </w14:solidFill>
          </w14:textFill>
        </w:rPr>
        <w:t xml:space="preserve">个工作日内全额退还</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（4）分期履行要求：</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numPr>
          <w:ilvl w:val="0"/>
          <w:numId w:val="3"/>
        </w:numPr>
        <w:ind w:firstLine="44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合同验收</w:t>
      </w:r>
      <w:r/>
    </w:p>
    <w:p>
      <w:pPr>
        <w:numPr>
          <w:ilvl w:val="0"/>
          <w:numId w:val="4"/>
        </w:num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验收组织方式：</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自行组织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委托第三方组织</w:t>
      </w:r>
      <w:r/>
    </w:p>
    <w:p>
      <w:pPr>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         验收主体：</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        是否邀请本项目的其他供应商参加验收：</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是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否</w:t>
      </w:r>
      <w:r/>
    </w:p>
    <w:p>
      <w:pPr>
        <w:ind w:firstLine="88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是否邀请专家参加验收：</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是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否</w:t>
      </w:r>
      <w:r/>
    </w:p>
    <w:p>
      <w:pPr>
        <w:ind w:firstLine="88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是否邀请服务对象参加验收：</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是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否</w:t>
      </w:r>
      <w:r/>
    </w:p>
    <w:p>
      <w:pPr>
        <w:ind w:firstLine="88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是否邀请第三方检测机构参加验收：</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是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否</w:t>
      </w:r>
      <w:r/>
    </w:p>
    <w:p>
      <w:pPr>
        <w:ind w:firstLine="88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是否进行抽查检测：</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是，抽查比例：</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rPr>
          <w:rFonts w:hint="eastAsia" w:ascii="宋体" w:hAnsi="宋体" w:cs="宋体"/>
          <w:bCs/>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否</w:t>
      </w:r>
      <w:r/>
    </w:p>
    <w:p>
      <w:pPr>
        <w:ind w:firstLine="880"/>
        <w:spacing w:line="400" w:lineRule="exact"/>
        <w:rPr>
          <w:rFonts w:ascii="宋体" w:hAnsi="宋体" w:cs="宋体"/>
          <w:bCs/>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是否存在破坏性检测：</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是，</w:t>
      </w:r>
      <w:r>
        <w:rPr>
          <w:rFonts w:hint="eastAsia" w:ascii="宋体" w:hAnsi="宋体" w:cs="宋体"/>
          <w:bCs/>
          <w:color w:val="000000" w:themeColor="text1"/>
          <w:szCs w:val="21"/>
          <w:highlight w:val="none"/>
          <w:u w:val="single"/>
          <w:lang w:eastAsia="zh-CN"/>
          <w14:textFill>
            <w14:solidFill>
              <w14:schemeClr w14:val="tx1"/>
            </w14:solidFill>
          </w14:textFill>
        </w:rPr>
        <w:t xml:space="preserve">（应明确对被破坏的检测产品的处理方式）</w:t>
      </w:r>
      <w:r/>
    </w:p>
    <w:p>
      <w:pPr>
        <w:ind w:firstLine="88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否</w:t>
      </w:r>
      <w:r/>
    </w:p>
    <w:p>
      <w:pPr>
        <w:ind w:firstLine="880"/>
        <w:spacing w:line="400" w:lineRule="exact"/>
        <w:rPr>
          <w:rFonts w:ascii="宋体" w:hAnsi="宋体" w:cs="宋体"/>
          <w:bCs/>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验收组织的其他事项：</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bCs/>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（2）履约验收时间：</w:t>
      </w:r>
      <w:r>
        <w:rPr>
          <w:rFonts w:hint="eastAsia" w:ascii="宋体" w:hAnsi="宋体" w:cs="宋体"/>
          <w:bCs/>
          <w:color w:val="000000" w:themeColor="text1"/>
          <w:szCs w:val="21"/>
          <w:highlight w:val="none"/>
          <w:u w:val="single"/>
          <w:lang w:eastAsia="zh-CN"/>
          <w14:textFill>
            <w14:solidFill>
              <w14:schemeClr w14:val="tx1"/>
            </w14:solidFill>
          </w14:textFill>
        </w:rPr>
        <w:t xml:space="preserve">（计划于何时验收/供应商提出验收申请之日起   日内组织验收） </w:t>
      </w:r>
      <w:r/>
    </w:p>
    <w:p>
      <w:p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（3）履约验收方式：</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一次性验收         </w:t>
      </w:r>
      <w:r/>
    </w:p>
    <w:p>
      <w:pPr>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分期/分项验收：</w:t>
      </w:r>
      <w:r>
        <w:rPr>
          <w:rFonts w:hint="eastAsia" w:ascii="宋体" w:hAnsi="宋体" w:cs="宋体"/>
          <w:bCs/>
          <w:color w:val="000000" w:themeColor="text1"/>
          <w:szCs w:val="21"/>
          <w:highlight w:val="none"/>
          <w:u w:val="single"/>
          <w:lang w:eastAsia="zh-CN"/>
          <w14:textFill>
            <w14:solidFill>
              <w14:schemeClr w14:val="tx1"/>
            </w14:solidFill>
          </w14:textFill>
        </w:rPr>
        <w:t xml:space="preserve"> （应明确分期</w:t>
      </w:r>
      <w:r>
        <w:rPr>
          <w:rFonts w:hint="eastAsia" w:ascii="宋体" w:hAnsi="宋体" w:cs="宋体"/>
          <w:bCs/>
          <w:color w:val="000000" w:themeColor="text1"/>
          <w:szCs w:val="21"/>
          <w:highlight w:val="none"/>
          <w:u w:val="single"/>
          <w:lang w:val="en" w:eastAsia="zh-CN"/>
          <w14:textFill>
            <w14:solidFill>
              <w14:schemeClr w14:val="tx1"/>
            </w14:solidFill>
          </w14:textFill>
        </w:rPr>
        <w:t xml:space="preserve">/分项验收的工作安排</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（4）履约验收程序：</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bCs/>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（5）履约验收的内容：</w:t>
      </w:r>
      <w:r>
        <w:rPr>
          <w:rFonts w:hint="eastAsia" w:ascii="宋体" w:hAnsi="宋体" w:cs="宋体"/>
          <w:bCs/>
          <w:color w:val="000000" w:themeColor="text1"/>
          <w:szCs w:val="21"/>
          <w:highlight w:val="none"/>
          <w:u w:val="single"/>
          <w:lang w:eastAsia="zh-CN"/>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40"/>
        <w:spacing w:line="400" w:lineRule="exact"/>
        <w:rPr>
          <w:rFonts w:ascii="宋体" w:hAnsi="宋体" w:cs="宋体"/>
          <w:bCs/>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（6）履约验收标准：</w:t>
      </w:r>
      <w:r>
        <w:rPr>
          <w:rFonts w:hint="eastAsia" w:ascii="宋体" w:hAnsi="宋体" w:cs="宋体"/>
          <w:bCs/>
          <w:color w:val="000000" w:themeColor="text1"/>
          <w:szCs w:val="21"/>
          <w:highlight w:val="none"/>
          <w:u w:val="single"/>
          <w:lang w:eastAsia="zh-CN"/>
          <w14:textFill>
            <w14:solidFill>
              <w14:schemeClr w14:val="tx1"/>
            </w14:solidFill>
          </w14:textFill>
        </w:rPr>
        <w:t xml:space="preserve">                                         </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40"/>
        <w:spacing w:line="400" w:lineRule="exact"/>
        <w:rPr>
          <w:rFonts w:ascii="宋体" w:hAnsi="宋体" w:cs="宋体"/>
          <w:bCs/>
          <w:color w:val="000000" w:themeColor="text1"/>
          <w:szCs w:val="21"/>
          <w:highlight w:val="none"/>
          <w:u w:val="singl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lang w:eastAsia="zh-CN"/>
          <w14:textFill>
            <w14:solidFill>
              <w14:schemeClr w14:val="tx1"/>
            </w14:solidFill>
          </w14:textFill>
        </w:rPr>
        <w:t xml:space="preserve">      （产权过户登记等）          </w:t>
      </w:r>
      <w:r/>
    </w:p>
    <w:p>
      <w:pPr>
        <w:ind w:firstLine="44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 xml:space="preserve">本项目将根据政府采购法及相关法规，对供应商进行履约验收， 确认验收合格的，将出具《政府采购履约验收书》。《政府采购履约验收书》、合同是申请支付政府采购合同价款的必备资料。</w:t>
      </w:r>
      <w:r>
        <w:rPr>
          <w:rFonts w:hint="eastAsia" w:ascii="宋体" w:hAnsi="宋体" w:cs="宋体"/>
          <w:b/>
          <w:color w:val="000000" w:themeColor="text1"/>
          <w:szCs w:val="21"/>
          <w:highlight w:val="none"/>
          <w14:textFill>
            <w14:solidFill>
              <w14:schemeClr w14:val="tx1"/>
            </w14:solidFill>
          </w14:textFill>
        </w:rPr>
        <w:t xml:space="preserve">具体见货物类项目履约验收方案内容。</w:t>
      </w:r>
      <w:r/>
    </w:p>
    <w:p>
      <w:pPr>
        <w:numPr>
          <w:ilvl w:val="0"/>
          <w:numId w:val="3"/>
        </w:numPr>
        <w:ind w:firstLine="44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组成合同的文件</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本协议书与下列文件一起构成合同文件，如下述文件之间有任何抵触、矛盾或歧义，应按以下顺序解释：</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（1）政府采购合同协议书及其变更、补充协议</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（2）政府采购合同专用条款</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（3）政府采购合同通用条款</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（4）中标（成交）通知书</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（5）投标（响应）文件</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（6）采购文件</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（7）有关技术文件，图纸</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3"/>
        </w:numPr>
        <w:ind w:firstLine="44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合同生效</w:t>
      </w:r>
      <w:r/>
    </w:p>
    <w:p>
      <w:pPr>
        <w:ind w:firstLine="44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本合同自</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生效。</w:t>
      </w:r>
      <w:r/>
    </w:p>
    <w:p>
      <w:pPr>
        <w:numPr>
          <w:ilvl w:val="0"/>
          <w:numId w:val="3"/>
        </w:numPr>
        <w:ind w:firstLine="44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合同份数</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本合同一式</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份，甲方执</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份，乙方执</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份，均具有同等法律效力。</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合同订立时间：</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年</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月</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rPr>
          <w:rFonts w:hint="eastAsia" w:ascii="宋体" w:hAnsi="宋体" w:cs="宋体"/>
          <w:color w:val="000000" w:themeColor="text1"/>
          <w:szCs w:val="21"/>
          <w:highlight w:val="none"/>
          <w:lang w:eastAsia="zh-CN"/>
          <w14:textFill>
            <w14:solidFill>
              <w14:schemeClr w14:val="tx1"/>
            </w14:solidFill>
          </w14:textFill>
        </w:rPr>
        <w:t xml:space="preserve">日</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合同订立地点：</w:t>
      </w:r>
      <w:r>
        <w:rPr>
          <w:rFonts w:hint="eastAsia" w:ascii="宋体" w:hAnsi="宋体" w:cs="宋体"/>
          <w:color w:val="000000" w:themeColor="text1"/>
          <w:szCs w:val="21"/>
          <w:highlight w:val="none"/>
          <w:u w:val="single"/>
          <w:lang w:eastAsia="zh-CN"/>
          <w14:textFill>
            <w14:solidFill>
              <w14:schemeClr w14:val="tx1"/>
            </w14:solidFill>
          </w14:textFill>
        </w:rPr>
        <w:t xml:space="preserve">                           </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附件：具体标的及其技术要求和商务要求、联合协议、分包意向协议等。</w:t>
      </w:r>
      <w:r/>
    </w:p>
    <w:p>
      <w:pPr>
        <w:pStyle w:val="964"/>
        <w:ind w:firstLine="440"/>
        <w:spacing w:line="400" w:lineRule="exact"/>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p>
      <w:pPr>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r>
      <w:r/>
    </w:p>
    <w:p>
      <w:pPr>
        <w:pStyle w:val="964"/>
        <w:ind w:firstLine="440"/>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r>
      <w:r/>
    </w:p>
    <w:tbl>
      <w:tblPr>
        <w:tblStyle w:val="732"/>
        <w:tblW w:w="4927" w:type="pct"/>
        <w:tblInd w:w="-33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706"/>
        <w:gridCol w:w="1178"/>
        <w:gridCol w:w="3421"/>
      </w:tblGrid>
      <w:tr>
        <w:trPr>
          <w:trHeight w:val="490"/>
        </w:trPr>
        <w:tc>
          <w:tcPr>
            <w:gridSpan w:val="2"/>
            <w:tcW w:w="4832" w:type="dxa"/>
            <w:vAlign w:val="center"/>
            <w:textDirection w:val="lrTb"/>
            <w:noWrap w:val="false"/>
          </w:tcPr>
          <w:p>
            <w:pPr>
              <w:jc w:val="center"/>
              <w:spacing w:line="3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甲方（采购人、受采购人委托签订合同的单位或采购文件约定的合同甲方）</w:t>
            </w:r>
            <w:r/>
          </w:p>
        </w:tc>
        <w:tc>
          <w:tcPr>
            <w:gridSpan w:val="2"/>
            <w:tcW w:w="4599" w:type="dxa"/>
            <w:vAlign w:val="center"/>
            <w:textDirection w:val="lrTb"/>
            <w:noWrap w:val="false"/>
          </w:tcPr>
          <w:p>
            <w:pPr>
              <w:jc w:val="center"/>
              <w:spacing w:line="3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乙方（供应商）</w:t>
            </w:r>
            <w:r/>
          </w:p>
        </w:tc>
      </w:tr>
      <w:tr>
        <w:trPr>
          <w:trHeight w:val="917"/>
        </w:trPr>
        <w:tc>
          <w:tcPr>
            <w:tcW w:w="1126" w:type="dxa"/>
            <w:vAlign w:val="center"/>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单位名称（公章或合同章）</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ascii="宋体" w:hAnsi="宋体" w:cs="宋体"/>
                <w:color w:val="000000" w:themeColor="text1"/>
                <w:szCs w:val="21"/>
                <w:highlight w:val="none"/>
                <w:lang w:eastAsia="zh-CN"/>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单位名称（公章或合同章）</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lang w:eastAsia="zh-CN"/>
                <w14:textFill>
                  <w14:solidFill>
                    <w14:schemeClr w14:val="tx1"/>
                  </w14:solidFill>
                </w14:textFill>
              </w:rPr>
            </w:pPr>
            <w:r>
              <w:rPr>
                <w:rFonts w:ascii="宋体" w:hAnsi="宋体" w:cs="宋体"/>
                <w:color w:val="000000" w:themeColor="text1"/>
                <w:spacing w:val="20"/>
                <w:szCs w:val="21"/>
                <w:highlight w:val="none"/>
                <w:lang w:eastAsia="zh-CN"/>
                <w14:textFill>
                  <w14:solidFill>
                    <w14:schemeClr w14:val="tx1"/>
                  </w14:solidFill>
                </w14:textFill>
              </w:rPr>
            </w:r>
            <w:r/>
          </w:p>
        </w:tc>
      </w:tr>
      <w:tr>
        <w:trPr>
          <w:trHeight w:val="1171"/>
        </w:trPr>
        <w:tc>
          <w:tcPr>
            <w:tcW w:w="1126" w:type="dxa"/>
            <w:vAlign w:val="center"/>
            <w:vMerge w:val="restart"/>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法定代表人</w:t>
            </w:r>
            <w:r/>
          </w:p>
          <w:p>
            <w:pPr>
              <w:ind w:firstLine="105"/>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或其委托代理人（签章）</w:t>
            </w:r>
            <w:r/>
          </w:p>
        </w:tc>
        <w:tc>
          <w:tcPr>
            <w:tcW w:w="1436" w:type="dxa"/>
            <w:vAlign w:val="center"/>
            <w:vMerge w:val="restart"/>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ascii="宋体" w:hAnsi="宋体" w:cs="宋体"/>
                <w:color w:val="000000" w:themeColor="text1"/>
                <w:szCs w:val="21"/>
                <w:highlight w:val="none"/>
                <w:lang w:eastAsia="zh-CN"/>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法定代表人</w:t>
            </w:r>
            <w:r/>
          </w:p>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或其委托代理人（签章）</w:t>
            </w:r>
            <w:r/>
          </w:p>
        </w:tc>
        <w:tc>
          <w:tcPr>
            <w:tcW w:w="1259" w:type="dxa"/>
            <w:vAlign w:val="center"/>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ascii="宋体" w:hAnsi="宋体" w:cs="宋体"/>
                <w:color w:val="000000" w:themeColor="text1"/>
                <w:szCs w:val="21"/>
                <w:highlight w:val="none"/>
                <w:lang w:eastAsia="zh-CN"/>
                <w14:textFill>
                  <w14:solidFill>
                    <w14:schemeClr w14:val="tx1"/>
                  </w14:solidFill>
                </w14:textFill>
              </w:rPr>
            </w:r>
            <w:r/>
          </w:p>
        </w:tc>
      </w:tr>
      <w:tr>
        <w:trPr>
          <w:trHeight w:val="483"/>
        </w:trPr>
        <w:tc>
          <w:tcPr>
            <w:tcW w:w="1126" w:type="dxa"/>
            <w:vAlign w:val="center"/>
            <w:vMerge w:val="continue"/>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ascii="宋体" w:hAnsi="宋体" w:cs="宋体"/>
                <w:color w:val="000000" w:themeColor="text1"/>
                <w:szCs w:val="21"/>
                <w:highlight w:val="none"/>
                <w:lang w:eastAsia="zh-CN"/>
                <w14:textFill>
                  <w14:solidFill>
                    <w14:schemeClr w14:val="tx1"/>
                  </w14:solidFill>
                </w14:textFill>
              </w:rPr>
            </w:r>
            <w:r/>
          </w:p>
        </w:tc>
        <w:tc>
          <w:tcPr>
            <w:tcW w:w="1436" w:type="dxa"/>
            <w:vAlign w:val="center"/>
            <w:vMerge w:val="continue"/>
            <w:textDirection w:val="lrTb"/>
            <w:noWrap w:val="false"/>
          </w:tcPr>
          <w:p>
            <w:pPr>
              <w:jc w:val="center"/>
              <w:spacing w:line="300" w:lineRule="exact"/>
              <w:rPr>
                <w:rFonts w:ascii="宋体" w:hAnsi="宋体" w:cs="宋体"/>
                <w:color w:val="000000" w:themeColor="text1"/>
                <w:szCs w:val="21"/>
                <w:highlight w:val="none"/>
                <w:lang w:eastAsia="zh-CN"/>
                <w14:textFill>
                  <w14:solidFill>
                    <w14:schemeClr w14:val="tx1"/>
                  </w14:solidFill>
                </w14:textFill>
              </w:rPr>
            </w:pPr>
            <w:r>
              <w:rPr>
                <w:rFonts w:ascii="宋体" w:hAnsi="宋体" w:cs="宋体"/>
                <w:color w:val="000000" w:themeColor="text1"/>
                <w:szCs w:val="21"/>
                <w:highlight w:val="none"/>
                <w:lang w:eastAsia="zh-CN"/>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拥有者性别</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  所</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  所</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 系 人</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 系 人</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邮政编码</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邮政编码</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电子邮箱</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电子邮箱</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统一社会信用代码</w:t>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统一社会信用代码</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开户名称</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483"/>
        </w:trPr>
        <w:tc>
          <w:tcPr>
            <w:tcW w:w="112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436"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jc w:val="center"/>
              <w:spacing w:line="3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银行账号</w:t>
            </w:r>
            <w:r/>
          </w:p>
        </w:tc>
        <w:tc>
          <w:tcPr>
            <w:tcW w:w="1259" w:type="dxa"/>
            <w:vAlign w:val="center"/>
            <w:textDirection w:val="lrTb"/>
            <w:noWrap w:val="false"/>
          </w:tcPr>
          <w:p>
            <w:pPr>
              <w:jc w:val="center"/>
              <w:spacing w:line="300" w:lineRule="exact"/>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trHeight w:val="586"/>
        </w:trPr>
        <w:tc>
          <w:tcPr>
            <w:gridSpan w:val="4"/>
            <w:tcW w:w="9431" w:type="dxa"/>
            <w:vAlign w:val="center"/>
            <w:textDirection w:val="lrTb"/>
            <w:noWrap w:val="false"/>
          </w:tcPr>
          <w:p>
            <w:pPr>
              <w:pStyle w:val="772"/>
              <w:spacing w:before="120"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注：涉及联合体或其他合同主体的信息应按上表格式加列。</w:t>
            </w:r>
            <w:r/>
          </w:p>
        </w:tc>
      </w:tr>
    </w:tbl>
    <w:p>
      <w:pPr>
        <w:pStyle w:val="962"/>
        <w:jc w:val="center"/>
        <w:spacing w:line="400" w:lineRule="exact"/>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br w:type="page" w:clear="all"/>
      </w:r>
      <w:bookmarkStart w:id="34" w:name="_Toc27624"/>
      <w:r>
        <w:rPr>
          <w:rFonts w:hint="eastAsia" w:ascii="宋体" w:hAnsi="宋体" w:cs="宋体"/>
          <w:color w:val="000000" w:themeColor="text1"/>
          <w:sz w:val="28"/>
          <w:szCs w:val="28"/>
          <w:highlight w:val="none"/>
          <w:lang w:eastAsia="zh-CN"/>
          <w14:textFill>
            <w14:solidFill>
              <w14:schemeClr w14:val="tx1"/>
            </w14:solidFill>
          </w14:textFill>
        </w:rPr>
        <w:t xml:space="preserve">第二节 政府采购合同通用条款</w:t>
      </w:r>
      <w:bookmarkEnd w:id="34"/>
      <w:r/>
      <w:r/>
    </w:p>
    <w:p>
      <w:pPr>
        <w:spacing w:line="400" w:lineRule="exact"/>
        <w:tabs>
          <w:tab w:val="left" w:pos="8820" w:leader="none"/>
          <w:tab w:val="left" w:pos="9345" w:leader="none"/>
          <w:tab w:val="left" w:pos="9765" w:leader="none"/>
        </w:tabs>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1. </w:t>
      </w:r>
      <w:r>
        <w:rPr>
          <w:rFonts w:hint="eastAsia" w:ascii="宋体" w:hAnsi="宋体" w:cs="宋体"/>
          <w:b/>
          <w:bCs/>
          <w:color w:val="000000" w:themeColor="text1"/>
          <w:sz w:val="24"/>
          <w:highlight w:val="none"/>
          <w:lang w:eastAsia="zh-CN"/>
          <w14:textFill>
            <w14:solidFill>
              <w14:schemeClr w14:val="tx1"/>
            </w14:solidFill>
          </w14:textFill>
        </w:rPr>
        <w:t xml:space="preserve">定义</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1.1合同当事人</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lang w:eastAsia="zh-CN"/>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40"/>
        <w:spacing w:line="400" w:lineRule="exact"/>
        <w:tabs>
          <w:tab w:val="left" w:pos="570" w:leader="none"/>
          <w:tab w:val="left" w:pos="9240" w:leader="none"/>
          <w:tab w:val="left" w:pos="9555"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1.2本合同下列术语应解释为：</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（1）“合同”系指</w:t>
      </w:r>
      <w:r>
        <w:rPr>
          <w:rFonts w:hint="eastAsia" w:ascii="宋体" w:hAnsi="宋体" w:cs="宋体"/>
          <w:bCs/>
          <w:color w:val="000000" w:themeColor="text1"/>
          <w:szCs w:val="21"/>
          <w:highlight w:val="none"/>
          <w:lang w:eastAsia="zh-CN"/>
          <w14:textFill>
            <w14:solidFill>
              <w14:schemeClr w14:val="tx1"/>
            </w14:solidFill>
          </w14:textFill>
        </w:rPr>
        <w:t xml:space="preserve">合同当事人意思表示达成一致的任何协议，包括签署的</w:t>
      </w:r>
      <w:r>
        <w:rPr>
          <w:rFonts w:hint="eastAsia" w:ascii="宋体" w:hAnsi="宋体" w:cs="宋体"/>
          <w:color w:val="000000" w:themeColor="text1"/>
          <w:szCs w:val="21"/>
          <w:highlight w:val="none"/>
          <w:lang w:eastAsia="zh-CN"/>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40"/>
        <w:spacing w:line="400" w:lineRule="exact"/>
        <w:tabs>
          <w:tab w:val="left" w:pos="570" w:leader="none"/>
          <w:tab w:val="left" w:pos="9240" w:leader="none"/>
          <w:tab w:val="left" w:pos="9555"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（2）“合同价款”系指根据本合同规定乙方在全面履行合同义务后甲方应支付给乙方的价款。</w:t>
      </w:r>
      <w:r/>
    </w:p>
    <w:p>
      <w:pPr>
        <w:ind w:firstLine="440"/>
        <w:spacing w:line="400" w:lineRule="exact"/>
        <w:tabs>
          <w:tab w:val="left" w:pos="570" w:leader="none"/>
          <w:tab w:val="left" w:pos="9240" w:leader="none"/>
          <w:tab w:val="left" w:pos="9555"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szCs w:val="21"/>
          <w:highlight w:val="none"/>
          <w:lang w:val="en" w:eastAsia="zh-CN"/>
          <w14:textFill>
            <w14:solidFill>
              <w14:schemeClr w14:val="tx1"/>
            </w14:solidFill>
          </w14:textFill>
        </w:rPr>
        <w:t xml:space="preserve">其他</w:t>
      </w:r>
      <w:r>
        <w:rPr>
          <w:rFonts w:hint="eastAsia" w:ascii="宋体" w:hAnsi="宋体" w:cs="宋体"/>
          <w:color w:val="000000" w:themeColor="text1"/>
          <w:szCs w:val="21"/>
          <w:highlight w:val="none"/>
          <w:lang w:eastAsia="zh-CN"/>
          <w14:textFill>
            <w14:solidFill>
              <w14:schemeClr w14:val="tx1"/>
            </w14:solidFill>
          </w14:textFill>
        </w:rPr>
        <w:t xml:space="preserve">技术资料和材料等。</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szCs w:val="21"/>
          <w:highlight w:val="none"/>
          <w:lang w:val="en" w:eastAsia="zh-CN"/>
          <w14:textFill>
            <w14:solidFill>
              <w14:schemeClr w14:val="tx1"/>
            </w14:solidFill>
          </w14:textFill>
        </w:rPr>
        <w:t xml:space="preserve">其他</w:t>
      </w:r>
      <w:r>
        <w:rPr>
          <w:rFonts w:hint="eastAsia" w:ascii="宋体" w:hAnsi="宋体" w:cs="宋体"/>
          <w:color w:val="000000" w:themeColor="text1"/>
          <w:szCs w:val="21"/>
          <w:highlight w:val="none"/>
          <w:lang w:eastAsia="zh-CN"/>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szCs w:val="21"/>
          <w:highlight w:val="none"/>
          <w:lang w:val="en" w:eastAsia="zh-CN"/>
          <w14:textFill>
            <w14:solidFill>
              <w14:schemeClr w14:val="tx1"/>
            </w14:solidFill>
          </w14:textFill>
        </w:rPr>
        <w:t xml:space="preserve">其他</w:t>
      </w:r>
      <w:r>
        <w:rPr>
          <w:rFonts w:hint="eastAsia" w:ascii="宋体" w:hAnsi="宋体" w:cs="宋体"/>
          <w:color w:val="000000" w:themeColor="text1"/>
          <w:szCs w:val="21"/>
          <w:highlight w:val="none"/>
          <w:lang w:eastAsia="zh-CN"/>
          <w14:textFill>
            <w14:solidFill>
              <w14:schemeClr w14:val="tx1"/>
            </w14:solidFill>
          </w14:textFill>
        </w:rPr>
        <w:t xml:space="preserve">义务。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40"/>
        <w:spacing w:line="400" w:lineRule="exact"/>
        <w:tabs>
          <w:tab w:val="left" w:pos="570" w:leader="none"/>
          <w:tab w:val="left" w:pos="9240" w:leader="none"/>
          <w:tab w:val="left" w:pos="9555"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40"/>
        <w:spacing w:line="400" w:lineRule="exact"/>
        <w:tabs>
          <w:tab w:val="left" w:pos="570" w:leader="none"/>
          <w:tab w:val="left" w:pos="9240" w:leader="none"/>
          <w:tab w:val="left" w:pos="9555" w:leader="none"/>
        </w:tabs>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（7）其他术语解释，见【</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w:t>
      </w:r>
      <w:r/>
    </w:p>
    <w:p>
      <w:pPr>
        <w:numPr>
          <w:ilvl w:val="0"/>
          <w:numId w:val="5"/>
        </w:num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440"/>
        <w:spacing w:line="400" w:lineRule="exact"/>
        <w:rPr>
          <w:rFonts w:ascii="宋体" w:hAnsi="宋体" w:cs="宋体"/>
          <w:b/>
          <w:bCs/>
          <w:i/>
          <w:iCs/>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szCs w:val="21"/>
          <w:highlight w:val="none"/>
          <w:lang w:val="en" w:eastAsia="zh-CN"/>
          <w14:textFill>
            <w14:solidFill>
              <w14:schemeClr w14:val="tx1"/>
            </w14:solidFill>
          </w14:textFill>
        </w:rPr>
        <w:t xml:space="preserve">其他</w:t>
      </w:r>
      <w:r>
        <w:rPr>
          <w:rFonts w:hint="eastAsia" w:ascii="宋体" w:hAnsi="宋体" w:cs="宋体"/>
          <w:color w:val="000000" w:themeColor="text1"/>
          <w:szCs w:val="21"/>
          <w:highlight w:val="none"/>
          <w:lang w:eastAsia="zh-CN"/>
          <w14:textFill>
            <w14:solidFill>
              <w14:schemeClr w14:val="tx1"/>
            </w14:solidFill>
          </w14:textFill>
        </w:rPr>
        <w:t xml:space="preserve">任何费用。</w:t>
      </w:r>
      <w:r/>
    </w:p>
    <w:p>
      <w:pPr>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3. 履行合同的时间、地点和方式</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3.1 乙方应当在约定的时间、地点，按照约定方式履行合同。</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4. 甲方的权利和义务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4.3 甲方有权要求乙方对缺陷部分予以修复，并按合同约定享有货物保修及其他合同约定的权利。</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约定的期限内对乙方履约提出任何异议或者向乙方作出任何说明的，视为验收通过。</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4.6 国家法律法规规定及</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约定应由甲方承担的其他义务和责任。</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5. 乙方的权利和义务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5.1 签署合同后，乙方应确定项目负责人（或项目联系人），负责与本合同有关的事务。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61"/>
        <w:ind w:firstLine="492"/>
        <w:spacing w:line="400" w:lineRule="exact"/>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5.3乙方有权根据合同约定向甲方收取合同价款。</w:t>
      </w:r>
      <w:r/>
    </w:p>
    <w:p>
      <w:pPr>
        <w:pStyle w:val="961"/>
        <w:ind w:firstLine="492"/>
        <w:spacing w:line="400" w:lineRule="exact"/>
        <w:rPr>
          <w:rFonts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5.4国家法律法规规定及</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【政府采购合同专用条款】</w:t>
      </w:r>
      <w:r>
        <w:rPr>
          <w:rFonts w:hint="eastAsia" w:ascii="宋体" w:hAnsi="宋体" w:eastAsia="宋体" w:cs="宋体"/>
          <w:color w:val="000000" w:themeColor="text1"/>
          <w:sz w:val="24"/>
          <w:highlight w:val="none"/>
          <w:lang w:eastAsia="zh-CN"/>
          <w14:textFill>
            <w14:solidFill>
              <w14:schemeClr w14:val="tx1"/>
            </w14:solidFill>
          </w14:textFill>
        </w:rPr>
        <w:t xml:space="preserve">约定应由乙方承担的其他义务和责任。</w:t>
      </w:r>
      <w:r/>
    </w:p>
    <w:p>
      <w:pPr>
        <w:numPr>
          <w:ilvl w:val="0"/>
          <w:numId w:val="6"/>
        </w:num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6.1 甲乙双方应当按照</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约定顺序履行合同义务；如果没有先后顺序的，应当同时履行。</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7. 货物包装、运输、保险和交付要求</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7.1 本合同</w:t>
      </w:r>
      <w:r>
        <w:rPr>
          <w:rFonts w:hint="eastAsia" w:ascii="宋体" w:hAnsi="宋体" w:cs="宋体"/>
          <w:bCs/>
          <w:color w:val="000000" w:themeColor="text1"/>
          <w:szCs w:val="21"/>
          <w:highlight w:val="none"/>
          <w:lang w:eastAsia="zh-CN"/>
          <w14:textFill>
            <w14:solidFill>
              <w14:schemeClr w14:val="tx1"/>
            </w14:solidFill>
          </w14:textFill>
        </w:rPr>
        <w:t xml:space="preserve">涉及商品包装、快递包装的，</w:t>
      </w:r>
      <w:r>
        <w:rPr>
          <w:rFonts w:hint="eastAsia" w:ascii="宋体" w:hAnsi="宋体" w:cs="宋体"/>
          <w:color w:val="000000" w:themeColor="text1"/>
          <w:szCs w:val="21"/>
          <w:highlight w:val="none"/>
          <w:lang w:eastAsia="zh-CN"/>
          <w14:textFill>
            <w14:solidFill>
              <w14:schemeClr w14:val="tx1"/>
            </w14:solidFill>
          </w14:textFill>
        </w:rPr>
        <w:t xml:space="preserve">除</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bCs/>
          <w:color w:val="000000" w:themeColor="text1"/>
          <w:szCs w:val="21"/>
          <w:highlight w:val="none"/>
          <w:lang w:eastAsia="zh-CN"/>
          <w14:textFill>
            <w14:solidFill>
              <w14:schemeClr w14:val="tx1"/>
            </w14:solidFill>
          </w14:textFill>
        </w:rPr>
        <w:t xml:space="preserve">另有约定外，</w:t>
      </w:r>
      <w:r>
        <w:rPr>
          <w:rFonts w:hint="eastAsia" w:ascii="宋体" w:hAnsi="宋体" w:cs="宋体"/>
          <w:color w:val="000000" w:themeColor="text1"/>
          <w:szCs w:val="21"/>
          <w:highlight w:val="none"/>
          <w:lang w:eastAsia="zh-CN"/>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bCs/>
          <w:color w:val="000000" w:themeColor="text1"/>
          <w:szCs w:val="21"/>
          <w:highlight w:val="none"/>
          <w:lang w:eastAsia="zh-CN"/>
          <w14:textFill>
            <w14:solidFill>
              <w14:schemeClr w14:val="tx1"/>
            </w14:solidFill>
          </w14:textFill>
        </w:rPr>
        <w:t xml:space="preserve">约定的</w:t>
      </w:r>
      <w:r>
        <w:rPr>
          <w:rFonts w:hint="eastAsia" w:ascii="宋体" w:hAnsi="宋体" w:cs="宋体"/>
          <w:color w:val="000000" w:themeColor="text1"/>
          <w:szCs w:val="21"/>
          <w:highlight w:val="none"/>
          <w:lang w:eastAsia="zh-CN"/>
          <w14:textFill>
            <w14:solidFill>
              <w14:schemeClr w14:val="tx1"/>
            </w14:solidFill>
          </w14:textFill>
        </w:rPr>
        <w:t xml:space="preserve">指定现场。</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7.2 除</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bCs/>
          <w:color w:val="000000" w:themeColor="text1"/>
          <w:szCs w:val="21"/>
          <w:highlight w:val="none"/>
          <w:lang w:eastAsia="zh-CN"/>
          <w14:textFill>
            <w14:solidFill>
              <w14:schemeClr w14:val="tx1"/>
            </w14:solidFill>
          </w14:textFill>
        </w:rPr>
        <w:t xml:space="preserve">另有约定外，</w:t>
      </w:r>
      <w:r>
        <w:rPr>
          <w:rFonts w:hint="eastAsia" w:ascii="宋体" w:hAnsi="宋体" w:cs="宋体"/>
          <w:color w:val="000000" w:themeColor="text1"/>
          <w:szCs w:val="21"/>
          <w:highlight w:val="none"/>
          <w:lang w:eastAsia="zh-CN"/>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7.3 货物保险要求按</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bCs/>
          <w:color w:val="000000" w:themeColor="text1"/>
          <w:szCs w:val="21"/>
          <w:highlight w:val="none"/>
          <w:lang w:eastAsia="zh-CN"/>
          <w14:textFill>
            <w14:solidFill>
              <w14:schemeClr w14:val="tx1"/>
            </w14:solidFill>
          </w14:textFill>
        </w:rPr>
        <w:t xml:space="preserve">规定执行</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7.5 乙方在运输到达之前应提前通知甲方，并提示货物运输装卸的注意事项，甲方配合乙方做好货物的接收工作。</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8. 质量标准和保证</w:t>
      </w:r>
      <w:r/>
    </w:p>
    <w:p>
      <w:pPr>
        <w:pStyle w:val="924"/>
        <w:ind w:firstLine="440"/>
        <w:spacing w:line="400" w:lineRule="exact"/>
        <w:rPr>
          <w:rFonts w:hAnsi="宋体" w:cs="宋体"/>
          <w:b/>
          <w:color w:val="000000" w:themeColor="text1"/>
          <w:highlight w:val="none"/>
          <w:lang w:eastAsia="zh-CN"/>
          <w14:textFill>
            <w14:solidFill>
              <w14:schemeClr w14:val="tx1"/>
            </w14:solidFill>
          </w14:textFill>
        </w:rPr>
      </w:pPr>
      <w:r>
        <w:rPr>
          <w:rFonts w:hint="eastAsia" w:hAnsi="宋体" w:cs="宋体"/>
          <w:color w:val="000000" w:themeColor="text1"/>
          <w:highlight w:val="none"/>
          <w:lang w:eastAsia="zh-CN"/>
          <w14:textFill>
            <w14:solidFill>
              <w14:schemeClr w14:val="tx1"/>
            </w14:solidFill>
          </w14:textFill>
        </w:rPr>
        <w:t xml:space="preserve">8.1 质量标准</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4"/>
        <w:ind w:firstLine="440"/>
        <w:spacing w:line="400" w:lineRule="exact"/>
        <w:rPr>
          <w:rFonts w:hAnsi="宋体" w:cs="宋体"/>
          <w:color w:val="000000" w:themeColor="text1"/>
          <w:highlight w:val="none"/>
          <w:lang w:eastAsia="zh-CN"/>
          <w14:textFill>
            <w14:solidFill>
              <w14:schemeClr w14:val="tx1"/>
            </w14:solidFill>
          </w14:textFill>
        </w:rPr>
      </w:pPr>
      <w:r>
        <w:rPr>
          <w:rFonts w:hint="eastAsia" w:hAnsi="宋体" w:cs="宋体"/>
          <w:color w:val="000000" w:themeColor="text1"/>
          <w:highlight w:val="none"/>
          <w:lang w:eastAsia="zh-CN"/>
          <w14:textFill>
            <w14:solidFill>
              <w14:schemeClr w14:val="tx1"/>
            </w14:solidFill>
          </w14:textFill>
        </w:rPr>
        <w:t xml:space="preserve">（2）采用中华人民共和国法定计量单位。</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（3）乙方所提供的货物应符合国家有关安全、环保、卫生的规定。</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8.2 保证</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规定或乙方书面承诺（两者以较长的为准）的质量保证期内，本保证保持有效。</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（2）在质量保证期内所发现的缺陷，甲方应尽快以书面形式通知乙方。</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（3）乙方收到通知后，应在</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规定的响应时间内以合理的速度免费维修或更换有缺陷的货物或部件。</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9. 权利瑕疵担保</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9.1 乙方保证对其出售的货物享有合法的权利。</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9.2 </w:t>
      </w:r>
      <w:r>
        <w:rPr>
          <w:rFonts w:hint="eastAsia" w:ascii="宋体" w:hAnsi="宋体" w:cs="宋体"/>
          <w:color w:val="000000" w:themeColor="text1"/>
          <w:szCs w:val="15"/>
          <w:highlight w:val="none"/>
          <w:lang w:eastAsia="zh-CN"/>
          <w14:textFill>
            <w14:solidFill>
              <w14:schemeClr w14:val="tx1"/>
            </w14:solidFill>
          </w14:textFill>
        </w:rPr>
        <w:t xml:space="preserve">乙方保证在交付的货物上不存在抵押权等担保物权。</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9.3 如甲方使用上述货物构成对第三人侵权的，则由乙方承担全部责任。</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10. 知识产权保护</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10.1 乙方对其所销售的货物应当享有知识产权或经权利人合法授权，保证没有侵犯任何第三人的知识产权等权利。</w:t>
      </w:r>
      <w:bookmarkStart w:id="35" w:name="_Hlk163047038"/>
      <w:r>
        <w:rPr>
          <w:rFonts w:hint="eastAsia" w:ascii="宋体" w:hAnsi="宋体" w:cs="宋体"/>
          <w:color w:val="000000" w:themeColor="text1"/>
          <w:szCs w:val="15"/>
          <w:highlight w:val="none"/>
          <w:lang w:eastAsia="zh-CN"/>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35"/>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11. 保密义务</w:t>
      </w:r>
      <w:r/>
    </w:p>
    <w:p>
      <w:pPr>
        <w:ind w:firstLine="440"/>
        <w:spacing w:line="400" w:lineRule="exact"/>
        <w:rPr>
          <w:rFonts w:ascii="宋体" w:hAnsi="宋体" w:cs="宋体"/>
          <w:color w:val="000000" w:themeColor="text1"/>
          <w:szCs w:val="15"/>
          <w:highlight w:val="none"/>
          <w:lang w:eastAsia="zh-CN"/>
          <w14:textFill>
            <w14:solidFill>
              <w14:schemeClr w14:val="tx1"/>
            </w14:solidFill>
          </w14:textFill>
        </w:rPr>
      </w:pPr>
      <w:r>
        <w:rPr>
          <w:rFonts w:hint="eastAsia" w:ascii="宋体" w:hAnsi="宋体" w:cs="宋体"/>
          <w:color w:val="000000" w:themeColor="text1"/>
          <w:szCs w:val="15"/>
          <w:highlight w:val="none"/>
          <w:lang w:eastAsia="zh-CN"/>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15"/>
          <w:highlight w:val="none"/>
          <w:lang w:eastAsia="zh-CN"/>
          <w14:textFill>
            <w14:solidFill>
              <w14:schemeClr w14:val="tx1"/>
            </w14:solidFill>
          </w14:textFill>
        </w:rPr>
        <w:t xml:space="preserve">中约定。</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12. 合同价款支付</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12.1 合同价款支付按照国库集中支付制度及财政管理相关规定执行。</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12.2 </w:t>
      </w:r>
      <w:r>
        <w:rPr>
          <w:rFonts w:hint="eastAsia" w:ascii="宋体" w:hAnsi="宋体" w:eastAsia="宋体" w:cs="宋体"/>
          <w:color w:val="000000" w:themeColor="text1"/>
          <w:szCs w:val="21"/>
          <w:highlight w:val="none"/>
          <w:lang w:eastAsia="zh-CN"/>
          <w14:textFill>
            <w14:solidFill>
              <w14:schemeClr w14:val="tx1"/>
            </w14:solidFill>
          </w14:textFill>
        </w:rPr>
        <w:t xml:space="preserve">对于满足合同约定支付条件的，甲方原则上应当自收到发票后</w:t>
      </w:r>
      <w:r>
        <w:rPr>
          <w:rFonts w:hint="eastAsia" w:ascii="宋体" w:hAnsi="宋体" w:cs="宋体"/>
          <w:color w:val="000000" w:themeColor="text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Cs w:val="21"/>
          <w:highlight w:val="none"/>
          <w:lang w:eastAsia="zh-CN"/>
          <w14:textFill>
            <w14:solidFill>
              <w14:schemeClr w14:val="tx1"/>
            </w14:solidFill>
          </w14:textFill>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61"/>
        <w:spacing w:line="400" w:lineRule="exact"/>
        <w:rPr>
          <w:rFonts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13. 履约保证金</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13.1 </w:t>
      </w:r>
      <w:r>
        <w:rPr>
          <w:rFonts w:hint="eastAsia" w:ascii="宋体" w:hAnsi="宋体" w:cs="宋体"/>
          <w:color w:val="000000" w:themeColor="text1"/>
          <w:szCs w:val="15"/>
          <w:highlight w:val="none"/>
          <w:lang w:eastAsia="zh-CN"/>
          <w14:textFill>
            <w14:solidFill>
              <w14:schemeClr w14:val="tx1"/>
            </w14:solidFill>
          </w14:textFill>
        </w:rPr>
        <w:t xml:space="preserve">乙方应当以支票、汇票、本票或者金融机构、担保机构出具的保函等非现金形式提交。</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13.2 如果乙方出现</w:t>
      </w:r>
      <w:r>
        <w:rPr>
          <w:rFonts w:hint="eastAsia" w:ascii="宋体" w:hAnsi="宋体" w:cs="宋体"/>
          <w:b/>
          <w:bCs/>
          <w:color w:val="000000" w:themeColor="text1"/>
          <w:szCs w:val="15"/>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15"/>
          <w:highlight w:val="none"/>
          <w:lang w:eastAsia="zh-CN"/>
          <w14:textFill>
            <w14:solidFill>
              <w14:schemeClr w14:val="tx1"/>
            </w14:solidFill>
          </w14:textFill>
        </w:rPr>
        <w:t xml:space="preserve">约定情形的</w:t>
      </w:r>
      <w:r>
        <w:rPr>
          <w:rFonts w:hint="eastAsia" w:ascii="宋体" w:hAnsi="宋体" w:cs="宋体"/>
          <w:color w:val="000000" w:themeColor="text1"/>
          <w:szCs w:val="21"/>
          <w:highlight w:val="none"/>
          <w:lang w:eastAsia="zh-CN"/>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13.3 甲方在项目通过验收后按照</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规定支付。</w:t>
      </w:r>
      <w:r/>
    </w:p>
    <w:p>
      <w:pPr>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14. </w:t>
      </w:r>
      <w:r>
        <w:rPr>
          <w:rFonts w:hint="eastAsia" w:ascii="宋体" w:hAnsi="宋体" w:cs="宋体"/>
          <w:b/>
          <w:color w:val="000000" w:themeColor="text1"/>
          <w:sz w:val="24"/>
          <w:highlight w:val="none"/>
          <w:lang w:eastAsia="zh-CN"/>
          <w14:textFill>
            <w14:solidFill>
              <w14:schemeClr w14:val="tx1"/>
            </w14:solidFill>
          </w14:textFill>
        </w:rPr>
        <w:t xml:space="preserve">售后服务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14.1 除项目不涉及或采购活动中明确约定无须承担外，乙方还应提供下列服务：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（1）货物的现场移动、安装、调试、启动监督及技术支持；</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（2）提供货物组装和维修所需的专用工具和辅助材料；</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（3）在</w:t>
      </w:r>
      <w:r>
        <w:rPr>
          <w:rFonts w:hint="eastAsia" w:ascii="宋体" w:hAnsi="宋体" w:cs="宋体"/>
          <w:b/>
          <w:bCs/>
          <w:color w:val="000000" w:themeColor="text1"/>
          <w:szCs w:val="15"/>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lang w:eastAsia="zh-CN"/>
          <w14:textFill>
            <w14:solidFill>
              <w14:schemeClr w14:val="tx1"/>
            </w14:solidFill>
          </w14:textFill>
        </w:rPr>
        <w:t xml:space="preserve">；</w:t>
      </w:r>
      <w:r/>
    </w:p>
    <w:p>
      <w:pPr>
        <w:pStyle w:val="963"/>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（6）</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规定由乙方提供的其他服务。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14.2 乙方提供的售后服务的费用已包含在合同价款中，甲方不再另行支付。</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15. 违约责任</w:t>
      </w:r>
      <w:r/>
    </w:p>
    <w:p>
      <w:p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15.1质量瑕疵的违约责任</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bCs/>
          <w:color w:val="000000" w:themeColor="text1"/>
          <w:szCs w:val="21"/>
          <w:highlight w:val="none"/>
          <w:lang w:eastAsia="zh-CN"/>
          <w14:textFill>
            <w14:solidFill>
              <w14:schemeClr w14:val="tx1"/>
            </w14:solidFill>
          </w14:textFill>
        </w:rPr>
        <w:t xml:space="preserve">要求</w:t>
      </w:r>
      <w:r>
        <w:rPr>
          <w:rFonts w:hint="eastAsia" w:ascii="宋体" w:hAnsi="宋体" w:cs="宋体"/>
          <w:color w:val="000000" w:themeColor="text1"/>
          <w:szCs w:val="21"/>
          <w:highlight w:val="none"/>
          <w:lang w:eastAsia="zh-CN"/>
          <w14:textFill>
            <w14:solidFill>
              <w14:schemeClr w14:val="tx1"/>
            </w14:solidFill>
          </w14:textFill>
        </w:rPr>
        <w:t xml:space="preserve">及时修理、重作、更换，并承担由此给甲方造成的损失。</w:t>
      </w:r>
      <w:r/>
    </w:p>
    <w:p>
      <w:p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15.2 迟延交货的违约责任</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规定执行。如果涉及公共利益，且赔偿金额无法弥补公共利益损失，甲方可要求继续履行或者采取其他补救措施。</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15.3 迟延支付的违约责任</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甲方存在迟延支付乙方合同款项的，应当承担</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规定的逾期付款利息。</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15.4其他违约责任根据项目实际需要按</w:t>
      </w:r>
      <w:r>
        <w:rPr>
          <w:rFonts w:hint="eastAsia" w:ascii="宋体" w:hAnsi="宋体" w:cs="宋体"/>
          <w:b/>
          <w:bCs/>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color w:val="000000" w:themeColor="text1"/>
          <w:szCs w:val="21"/>
          <w:highlight w:val="none"/>
          <w:lang w:eastAsia="zh-CN"/>
          <w14:textFill>
            <w14:solidFill>
              <w14:schemeClr w14:val="tx1"/>
            </w14:solidFill>
          </w14:textFill>
        </w:rPr>
        <w:t xml:space="preserve">规定执行。</w:t>
      </w:r>
      <w:r/>
    </w:p>
    <w:p>
      <w:pPr>
        <w:numPr>
          <w:ilvl w:val="0"/>
          <w:numId w:val="7"/>
        </w:num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16.1合同的变更</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16.2合同的中止</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（1）合同履行过程中因供应商就采购文件、采购过程或结果提起投诉的，甲方认为有必要的，可以中止合同的履行。</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40"/>
        <w:spacing w:line="400" w:lineRule="exact"/>
        <w:rPr>
          <w:rFonts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（4）甲方不得以行政区划调整、政府换届、机构或者职能调整以及相关责任人更替为由中止合同。</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16.3合同的终止</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（1）合同因有效期限届满而终止；</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（2）乙方未按合同约定履行，构成根本性违约的，甲方有权终止合同，并追究乙方的违约责任。</w:t>
      </w:r>
      <w:r/>
    </w:p>
    <w:p>
      <w:pPr>
        <w:pStyle w:val="963"/>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16.4 </w:t>
      </w:r>
      <w:r>
        <w:rPr>
          <w:rFonts w:hint="eastAsia" w:ascii="宋体" w:hAnsi="宋体" w:eastAsia="宋体" w:cs="宋体"/>
          <w:color w:val="000000" w:themeColor="text1"/>
          <w:sz w:val="21"/>
          <w:highlight w:val="none"/>
          <w14:textFill>
            <w14:solidFill>
              <w14:schemeClr w14:val="tx1"/>
            </w14:solidFill>
          </w14:textFill>
        </w:rPr>
        <w:t xml:space="preserve">涉及国家利益、社会公共利益的情形</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17. 合同分包</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17.1 乙方不得将合同转包给其他供应商。涉及合同分包的，乙方应根据采购文件和投标（响应）文件规定进行合同分包。</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18. 不可抗力</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18.1 不可抗力是指合同双方不能预见、不能避免且不能克服的客观情况。</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19. 解决争议的方法</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20. 政府采购政策</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20.1 </w:t>
      </w:r>
      <w:r>
        <w:rPr>
          <w:rFonts w:hint="eastAsia" w:ascii="宋体" w:hAnsi="宋体" w:cs="宋体"/>
          <w:color w:val="000000" w:themeColor="text1"/>
          <w:highlight w:val="none"/>
          <w:lang w:val="en-GB" w:eastAsia="zh-CN"/>
          <w14:textFill>
            <w14:solidFill>
              <w14:schemeClr w14:val="tx1"/>
            </w14:solidFill>
          </w14:textFill>
        </w:rPr>
        <w:t xml:space="preserve">本合同应当按照规定执行政府采购政策。</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 本合同依法执行政府采购政策的方式和内容，属于合同履约验收的范围。</w:t>
      </w:r>
      <w:r>
        <w:rPr>
          <w:rFonts w:hint="eastAsia" w:ascii="宋体" w:hAnsi="宋体" w:cs="宋体"/>
          <w:color w:val="000000" w:themeColor="text1"/>
          <w:highlight w:val="none"/>
          <w:lang w:eastAsia="zh-CN"/>
          <w14:textFill>
            <w14:solidFill>
              <w14:schemeClr w14:val="tx1"/>
            </w14:solidFill>
          </w14:textFill>
        </w:rPr>
        <w:t xml:space="preserve">甲乙双方</w:t>
      </w:r>
      <w:r>
        <w:rPr>
          <w:rFonts w:hint="eastAsia" w:ascii="宋体" w:hAnsi="宋体" w:cs="宋体"/>
          <w:color w:val="000000" w:themeColor="text1"/>
          <w:highlight w:val="none"/>
          <w:lang w:val="en-GB" w:eastAsia="zh-CN"/>
          <w14:textFill>
            <w14:solidFill>
              <w14:schemeClr w14:val="tx1"/>
            </w14:solidFill>
          </w14:textFill>
        </w:rPr>
        <w:t xml:space="preserve">未按规定要求执行政府采购政策造成损失的</w:t>
      </w:r>
      <w:r>
        <w:rPr>
          <w:rFonts w:hint="eastAsia" w:ascii="宋体" w:hAnsi="宋体" w:cs="宋体"/>
          <w:color w:val="000000" w:themeColor="text1"/>
          <w:szCs w:val="21"/>
          <w:highlight w:val="none"/>
          <w:lang w:eastAsia="zh-CN"/>
          <w14:textFill>
            <w14:solidFill>
              <w14:schemeClr w14:val="tx1"/>
            </w14:solidFill>
          </w14:textFill>
        </w:rPr>
        <w:t xml:space="preserve">，有过错的一方应当承担赔偿责任，双方都有过错的，各自承担相应的责任。</w:t>
      </w:r>
      <w:r/>
    </w:p>
    <w:p>
      <w:pPr>
        <w:pStyle w:val="961"/>
        <w:ind w:firstLine="560"/>
        <w:spacing w:line="400" w:lineRule="exact"/>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21. 法律适用</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22. 通知</w:t>
      </w:r>
      <w:r/>
    </w:p>
    <w:p>
      <w:pPr>
        <w:pStyle w:val="963"/>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963"/>
        <w:ind w:firstLine="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22.3本合同一方给另一方的通知均应采用书面形式，传真或快递送到本合同中规定的对方的地址和办理签收手续。</w:t>
      </w:r>
      <w:r/>
    </w:p>
    <w:p>
      <w:pPr>
        <w:ind w:firstLine="440"/>
        <w:spacing w:line="400" w:lineRule="exact"/>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22.4通知以送达之日或通知书中规定的生效之日起生效，两者中以较迟之日为准。</w:t>
      </w:r>
      <w:r/>
    </w:p>
    <w:p>
      <w:pPr>
        <w:numPr>
          <w:ilvl w:val="0"/>
          <w:numId w:val="8"/>
        </w:num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440"/>
        <w:spacing w:line="400" w:lineRule="exact"/>
        <w:rPr>
          <w:rFonts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23.1合同未尽事项见</w:t>
      </w:r>
      <w:r>
        <w:rPr>
          <w:rFonts w:hint="eastAsia" w:ascii="宋体" w:hAnsi="宋体" w:cs="宋体"/>
          <w:b/>
          <w:color w:val="000000" w:themeColor="text1"/>
          <w:szCs w:val="21"/>
          <w:highlight w:val="none"/>
          <w:lang w:eastAsia="zh-CN"/>
          <w14:textFill>
            <w14:solidFill>
              <w14:schemeClr w14:val="tx1"/>
            </w14:solidFill>
          </w14:textFill>
        </w:rPr>
        <w:t xml:space="preserve">【政府采购合同专用条款】</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23.2 合同附件与合同正文具有同等的法律效力。</w:t>
      </w:r>
      <w:bookmarkStart w:id="36" w:name="_Toc20313"/>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962"/>
        <w:jc w:val="center"/>
        <w:rPr>
          <w:rFonts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第三节 政府采购合同专用条款</w:t>
      </w:r>
      <w:bookmarkEnd w:id="36"/>
      <w:r/>
      <w:r/>
    </w:p>
    <w:tbl>
      <w:tblPr>
        <w:tblStyle w:val="73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第1.2（6）项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联合体具体要求</w:t>
            </w:r>
            <w:r/>
          </w:p>
        </w:tc>
        <w:tc>
          <w:tcPr>
            <w:tcW w:w="5170"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本项目无联合体投标。</w:t>
            </w:r>
            <w:r/>
          </w:p>
        </w:tc>
      </w:tr>
      <w:tr>
        <w:trPr>
          <w:trHeight w:val="60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第1.2（7）项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其他术语解释</w:t>
            </w:r>
            <w:r/>
          </w:p>
        </w:tc>
        <w:tc>
          <w:tcPr>
            <w:tcW w:w="517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第4.4款</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履约验收中甲方提出异议或作出说明的期限</w:t>
            </w:r>
            <w:r/>
          </w:p>
        </w:tc>
        <w:tc>
          <w:tcPr>
            <w:tcW w:w="517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14个工作日内。</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第4.6款</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约定甲方承担的其他义务和责任</w:t>
            </w:r>
            <w:r/>
          </w:p>
        </w:tc>
        <w:tc>
          <w:tcPr>
            <w:tcW w:w="517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第5.4款</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约定乙方承担的其他义务和责任</w:t>
            </w:r>
            <w:r/>
          </w:p>
        </w:tc>
        <w:tc>
          <w:tcPr>
            <w:tcW w:w="5170" w:type="dxa"/>
            <w:vAlign w:val="center"/>
            <w:textDirection w:val="lrTb"/>
            <w:noWrap w:val="false"/>
          </w:tcPr>
          <w:p>
            <w:pPr>
              <w:rPr>
                <w:rFonts w:ascii="宋体" w:hAnsi="宋体" w:cs="宋体"/>
                <w:b/>
                <w:bCs/>
                <w:i/>
                <w:iCs/>
                <w:color w:val="000000" w:themeColor="text1"/>
                <w:szCs w:val="21"/>
                <w:highlight w:val="none"/>
                <w:lang w:eastAsia="zh-CN" w:bidi="ar"/>
                <w14:textFill>
                  <w14:solidFill>
                    <w14:schemeClr w14:val="tx1"/>
                  </w14:solidFill>
                </w14:textFill>
              </w:rPr>
            </w:pPr>
            <w:r>
              <w:rPr>
                <w:rFonts w:ascii="宋体" w:hAnsi="宋体" w:cs="宋体"/>
                <w:b/>
                <w:bCs/>
                <w:i/>
                <w:iCs/>
                <w:color w:val="000000" w:themeColor="text1"/>
                <w:szCs w:val="21"/>
                <w:highlight w:val="none"/>
                <w:lang w:eastAsia="zh-CN" w:bidi="ar"/>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第6.1款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履行合同义务的顺序</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第7.1款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包装特殊要求</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lang w:eastAsia="zh-CN"/>
                <w14:textFill>
                  <w14:solidFill>
                    <w14:schemeClr w14:val="tx1"/>
                  </w14:solidFill>
                </w14:textFill>
              </w:rPr>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指定现场</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甲方指定地点，乙方负责办理运输、安装、调试。</w:t>
            </w:r>
            <w:r/>
          </w:p>
        </w:tc>
      </w:tr>
      <w:tr>
        <w:trPr>
          <w:trHeight w:val="772"/>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第7.2款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运输特殊要求</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运输损失由乙方承担。</w:t>
            </w:r>
            <w:r/>
          </w:p>
        </w:tc>
      </w:tr>
      <w:tr>
        <w:trPr>
          <w:trHeight w:val="66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第7.3款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保险要求</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第8.2（1）项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质量保证期</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按招标文件及投标文件承诺执行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第8.2（3）项</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货物质量缺陷</w:t>
            </w:r>
            <w:r/>
          </w:p>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响应时间</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3日内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pStyle w:val="963"/>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第11.1款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其他应当保密的信息</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第12.2款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合同价款支付时间</w:t>
            </w:r>
            <w:r/>
          </w:p>
        </w:tc>
        <w:tc>
          <w:tcPr>
            <w:tcW w:w="5170" w:type="dxa"/>
            <w:vAlign w:val="center"/>
            <w:textDirection w:val="lrTb"/>
            <w:noWrap w:val="false"/>
          </w:tcPr>
          <w:p>
            <w:pPr>
              <w:pStyle w:val="734"/>
              <w:rPr>
                <w:rFonts w:ascii="宋体" w:hAnsi="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本项目合同价款分三期支付，具体如下：合同生效后，乙方提供合同金额50%的增值税普通发票，甲方支付50%预付款；项目设备到货且甲方完成到货验收确认后，乙方提供合同金额30%的增值税普通发票，甲方支付30%货款；所有设备安装调测完成并经甲方最终验收合格后，乙方提供合同金额20%的增值税普通发票，甲方支付剩余20%尾款。</w:t>
            </w:r>
            <w:r/>
          </w:p>
        </w:tc>
      </w:tr>
      <w:tr>
        <w:trPr>
          <w:trHeight w:val="697"/>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第13.2款</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履约保证金不予退还的情形</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乙方在合同履行期间内无法完成履约的。</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第13.3款</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履约保证金退还时间及逾期退还的违约金</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验收合格无质量问题后，采购方在1</w:t>
            </w:r>
            <w:r>
              <w:rPr>
                <w:rFonts w:hint="eastAsia" w:ascii="宋体" w:hAnsi="宋体" w:cs="宋体" w:eastAsiaTheme="minorEastAsia"/>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lang w:eastAsia="zh-CN"/>
                <w14:textFill>
                  <w14:solidFill>
                    <w14:schemeClr w14:val="tx1"/>
                  </w14:solidFill>
                </w14:textFill>
              </w:rPr>
              <w:t xml:space="preserve">个工作日内全额退还。</w:t>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第14.1（3）项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运行监督、维修期限</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784"/>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第14.1（5）项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货物回收的约定</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第14.1（6）项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乙方提供的其他服务</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乙方除应履行按期按量交付合格标的物的义务外，还应当提供下列服务：</w:t>
            </w:r>
            <w:r/>
          </w:p>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1、标的物的现场安装、启动、调试、监督（如果必须安装、调试的话）；</w:t>
            </w:r>
            <w:r/>
          </w:p>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2、提供标的物组装和一般维修所必需的工具；</w:t>
            </w:r>
            <w:r/>
          </w:p>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3、在合同规定的期限内对所提供的标的物实行运行监督、维修服务的前提条件是该服务并不能免除乙方在质量保证期内所承担的义务；</w:t>
            </w:r>
            <w:r/>
          </w:p>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4、对甲方技术人员的技术指导或培训。</w:t>
            </w:r>
            <w:r/>
          </w:p>
          <w:p>
            <w:pPr>
              <w:rPr>
                <w:rFonts w:ascii="宋体" w:hAnsi="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5、除合同另有规定之外，伴随服务的费用均已含在合同价款中，甲方不再另行支付。</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第15.1款</w:t>
            </w:r>
            <w:r/>
          </w:p>
        </w:tc>
        <w:tc>
          <w:tcPr>
            <w:tcW w:w="1742" w:type="dxa"/>
            <w:vAlign w:val="center"/>
            <w:textDirection w:val="lrTb"/>
            <w:noWrap w:val="false"/>
          </w:tcPr>
          <w:p>
            <w:pPr>
              <w:rPr>
                <w:rFonts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修理、重作、更换相关具体规定</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第15.2（2）项</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迟延交货赔偿费</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第15.3款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逾期付款利息</w:t>
            </w:r>
            <w:r/>
          </w:p>
        </w:tc>
        <w:tc>
          <w:tcPr>
            <w:tcW w:w="5170" w:type="dxa"/>
            <w:vAlign w:val="center"/>
            <w:textDirection w:val="lrTb"/>
            <w:noWrap w:val="false"/>
          </w:tcPr>
          <w:p>
            <w:pPr>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w:t>
            </w:r>
            <w:r/>
          </w:p>
        </w:tc>
      </w:tr>
      <w:tr>
        <w:trPr>
          <w:trHeight w:val="876"/>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第15.4款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其他违约责任</w:t>
            </w:r>
            <w:r/>
          </w:p>
        </w:tc>
        <w:tc>
          <w:tcPr>
            <w:tcW w:w="5170" w:type="dxa"/>
            <w:vAlign w:val="center"/>
            <w:textDirection w:val="lrTb"/>
            <w:noWrap w:val="false"/>
          </w:tcPr>
          <w:p>
            <w:pPr>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w:t>
            </w:r>
            <w:r/>
          </w:p>
        </w:tc>
      </w:tr>
      <w:tr>
        <w:trPr>
          <w:trHeight w:val="9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第19.2款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解决争议的方法</w:t>
            </w:r>
            <w:r/>
          </w:p>
        </w:tc>
        <w:tc>
          <w:tcPr>
            <w:tcW w:w="5170" w:type="dxa"/>
            <w:vAlign w:val="center"/>
            <w:textDirection w:val="lrTb"/>
            <w:noWrap w:val="false"/>
          </w:tcPr>
          <w:p>
            <w:pPr>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highlight w:val="none"/>
                <w:u w:val="single"/>
                <w:lang w:eastAsia="zh-CN"/>
                <w14:textFill>
                  <w14:solidFill>
                    <w14:schemeClr w14:val="tx1"/>
                  </w14:solidFill>
                </w14:textFill>
              </w:rPr>
              <w:t xml:space="preserve"> 2  </w:t>
            </w:r>
            <w:r>
              <w:rPr>
                <w:rFonts w:hint="eastAsia" w:ascii="宋体" w:hAnsi="宋体" w:cs="宋体"/>
                <w:iCs/>
                <w:color w:val="000000" w:themeColor="text1"/>
                <w:szCs w:val="21"/>
                <w:highlight w:val="none"/>
                <w:lang w:eastAsia="zh-CN"/>
                <w14:textFill>
                  <w14:solidFill>
                    <w14:schemeClr w14:val="tx1"/>
                  </w14:solidFill>
                </w14:textFill>
              </w:rPr>
              <w:t xml:space="preserve">种方式解决：</w:t>
            </w:r>
            <w:r/>
          </w:p>
          <w:p>
            <w:pPr>
              <w:spacing w:line="400" w:lineRule="exact"/>
              <w:rPr>
                <w:rFonts w:ascii="宋体" w:hAnsi="宋体" w:cs="宋体"/>
                <w:iCs/>
                <w:color w:val="000000" w:themeColor="text1"/>
                <w:szCs w:val="21"/>
                <w:highlight w:val="non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（1）向</w:t>
            </w:r>
            <w:r>
              <w:rPr>
                <w:rFonts w:hint="eastAsia" w:ascii="宋体" w:hAnsi="宋体" w:cs="宋体"/>
                <w:iCs/>
                <w:color w:val="000000" w:themeColor="text1"/>
                <w:szCs w:val="21"/>
                <w:highlight w:val="none"/>
                <w:u w:val="single"/>
                <w:lang w:eastAsia="zh-CN"/>
                <w14:textFill>
                  <w14:solidFill>
                    <w14:schemeClr w14:val="tx1"/>
                  </w14:solidFill>
                </w14:textFill>
              </w:rPr>
              <w:t xml:space="preserve">       /             </w:t>
            </w:r>
            <w:r>
              <w:rPr>
                <w:rFonts w:hint="eastAsia" w:ascii="宋体" w:hAnsi="宋体" w:cs="宋体"/>
                <w:iCs/>
                <w:color w:val="000000" w:themeColor="text1"/>
                <w:szCs w:val="21"/>
                <w:highlight w:val="none"/>
                <w:lang w:eastAsia="zh-CN"/>
                <w14:textFill>
                  <w14:solidFill>
                    <w14:schemeClr w14:val="tx1"/>
                  </w14:solidFill>
                </w14:textFill>
              </w:rPr>
              <w:t xml:space="preserve">仲裁委员会申请仲裁，仲裁地点为</w:t>
            </w:r>
            <w:r>
              <w:rPr>
                <w:rFonts w:hint="eastAsia" w:ascii="宋体" w:hAnsi="宋体" w:cs="宋体"/>
                <w:iCs/>
                <w:color w:val="000000" w:themeColor="text1"/>
                <w:szCs w:val="21"/>
                <w:highlight w:val="none"/>
                <w:u w:val="single"/>
                <w:lang w:eastAsia="zh-CN"/>
                <w14:textFill>
                  <w14:solidFill>
                    <w14:schemeClr w14:val="tx1"/>
                  </w14:solidFill>
                </w14:textFill>
              </w:rPr>
              <w:t xml:space="preserve">    /       </w:t>
            </w:r>
            <w:r>
              <w:rPr>
                <w:rFonts w:hint="eastAsia" w:ascii="宋体" w:hAnsi="宋体" w:cs="宋体"/>
                <w:iCs/>
                <w:color w:val="000000" w:themeColor="text1"/>
                <w:szCs w:val="21"/>
                <w:highlight w:val="none"/>
                <w:lang w:eastAsia="zh-CN"/>
                <w14:textFill>
                  <w14:solidFill>
                    <w14:schemeClr w14:val="tx1"/>
                  </w14:solidFill>
                </w14:textFill>
              </w:rPr>
              <w:t xml:space="preserve">；</w:t>
            </w:r>
            <w:r/>
          </w:p>
          <w:p>
            <w:pPr>
              <w:rPr>
                <w:rFonts w:ascii="宋体" w:hAnsi="宋体"/>
                <w:color w:val="000000" w:themeColor="text1"/>
                <w:szCs w:val="21"/>
                <w:highlight w:val="none"/>
                <w:u w:val="single"/>
                <w:lang w:eastAsia="zh-CN"/>
                <w14:textFill>
                  <w14:solidFill>
                    <w14:schemeClr w14:val="tx1"/>
                  </w14:solidFill>
                </w14:textFill>
              </w:rPr>
            </w:pPr>
            <w:r>
              <w:rPr>
                <w:rFonts w:hint="eastAsia" w:ascii="宋体" w:hAnsi="宋体" w:cs="宋体"/>
                <w:iCs/>
                <w:color w:val="000000" w:themeColor="text1"/>
                <w:szCs w:val="21"/>
                <w:highlight w:val="none"/>
                <w:lang w:eastAsia="zh-CN"/>
                <w14:textFill>
                  <w14:solidFill>
                    <w14:schemeClr w14:val="tx1"/>
                  </w14:solidFill>
                </w14:textFill>
              </w:rPr>
              <w:t xml:space="preserve">（2）向</w:t>
            </w:r>
            <w:r>
              <w:rPr>
                <w:rFonts w:hint="eastAsia" w:ascii="宋体" w:hAnsi="宋体" w:cs="宋体"/>
                <w:iCs/>
                <w:color w:val="000000" w:themeColor="text1"/>
                <w:szCs w:val="21"/>
                <w:highlight w:val="none"/>
                <w:u w:val="single"/>
                <w:lang w:eastAsia="zh-CN"/>
                <w14:textFill>
                  <w14:solidFill>
                    <w14:schemeClr w14:val="tx1"/>
                  </w14:solidFill>
                </w14:textFill>
              </w:rPr>
              <w:t xml:space="preserve">          太仓市          </w:t>
            </w:r>
            <w:r>
              <w:rPr>
                <w:rFonts w:hint="eastAsia" w:ascii="宋体" w:hAnsi="宋体" w:cs="宋体"/>
                <w:iCs/>
                <w:color w:val="000000" w:themeColor="text1"/>
                <w:szCs w:val="21"/>
                <w:highlight w:val="none"/>
                <w:lang w:eastAsia="zh-CN"/>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第二节</w:t>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第23.1款</w:t>
            </w:r>
            <w:r/>
          </w:p>
        </w:tc>
        <w:tc>
          <w:tcPr>
            <w:tcW w:w="174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其他专用条款</w:t>
            </w:r>
            <w:r/>
          </w:p>
        </w:tc>
        <w:tc>
          <w:tcPr>
            <w:tcW w:w="5170" w:type="dxa"/>
            <w:vAlign w:val="center"/>
            <w:textDirection w:val="lrTb"/>
            <w:noWrap w:val="false"/>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ascii="宋体" w:hAnsi="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tc>
      </w:tr>
    </w:tbl>
    <w:p>
      <w:pPr>
        <w:jc w:val="center"/>
        <w:spacing w:line="439" w:lineRule="atLeast"/>
        <w:rPr>
          <w:rFonts w:ascii="宋体" w:hAnsi="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（全文完）</w:t>
      </w:r>
      <w:r>
        <w:rPr>
          <w:rFonts w:ascii="宋体" w:hAnsi="宋体" w:cs="宋体"/>
          <w:color w:val="000000" w:themeColor="text1"/>
          <w:highlight w:val="none"/>
          <w:lang w:eastAsia="zh-CN"/>
          <w14:textFill>
            <w14:solidFill>
              <w14:schemeClr w14:val="tx1"/>
            </w14:solidFill>
          </w14:textFill>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仿宋_GB2312">
    <w:panose1 w:val="02010609060101010101"/>
  </w:font>
  <w:font w:name="Wingdings">
    <w:panose1 w:val="05000000000000000000"/>
  </w:font>
  <w:font w:name="华文楷体">
    <w:panose1 w:val="02010600040101010101"/>
  </w:font>
  <w:font w:name="Cambria Math">
    <w:panose1 w:val="02040503050406030204"/>
  </w:font>
  <w:font w:name="等线">
    <w:panose1 w:val="02010600030101010101"/>
  </w:font>
  <w:font w:name="仿宋">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7621" cy="325561"/>
                      </a:xfrm>
                      <a:prstGeom prst="rect">
                        <a:avLst/>
                      </a:prstGeom>
                      <a:noFill/>
                      <a:ln>
                        <a:noFill/>
                      </a:ln>
                    </wps:spPr>
                    <wps:txbx>
                      <w:txbxContent>
                        <w:p>
                          <w:pPr>
                            <w:pStyle w:val="965"/>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65"/>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40"/>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5"/>
  </w:num>
  <w:num w:numId="3">
    <w:abstractNumId w:val="4"/>
  </w:num>
  <w:num w:numId="4">
    <w:abstractNumId w:val="1"/>
  </w:num>
  <w:num w:numId="5">
    <w:abstractNumId w:val="3"/>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731"/>
    <w:link w:val="722"/>
    <w:uiPriority w:val="9"/>
    <w:rPr>
      <w:rFonts w:ascii="Arial" w:hAnsi="Arial" w:eastAsia="Arial" w:cs="Arial"/>
      <w:sz w:val="40"/>
      <w:szCs w:val="40"/>
    </w:rPr>
  </w:style>
  <w:style w:type="character" w:styleId="685">
    <w:name w:val="Heading 2 Char"/>
    <w:basedOn w:val="731"/>
    <w:link w:val="723"/>
    <w:uiPriority w:val="9"/>
    <w:rPr>
      <w:rFonts w:ascii="Arial" w:hAnsi="Arial" w:eastAsia="Arial" w:cs="Arial"/>
      <w:sz w:val="34"/>
    </w:rPr>
  </w:style>
  <w:style w:type="character" w:styleId="686">
    <w:name w:val="Heading 3 Char"/>
    <w:basedOn w:val="731"/>
    <w:link w:val="948"/>
    <w:uiPriority w:val="9"/>
    <w:rPr>
      <w:rFonts w:ascii="Arial" w:hAnsi="Arial" w:eastAsia="Arial" w:cs="Arial"/>
      <w:sz w:val="30"/>
      <w:szCs w:val="30"/>
    </w:rPr>
  </w:style>
  <w:style w:type="character" w:styleId="687">
    <w:name w:val="Heading 4 Char"/>
    <w:basedOn w:val="731"/>
    <w:link w:val="725"/>
    <w:uiPriority w:val="9"/>
    <w:rPr>
      <w:rFonts w:ascii="Arial" w:hAnsi="Arial" w:eastAsia="Arial" w:cs="Arial"/>
      <w:b/>
      <w:bCs/>
      <w:sz w:val="26"/>
      <w:szCs w:val="26"/>
    </w:rPr>
  </w:style>
  <w:style w:type="character" w:styleId="688">
    <w:name w:val="Heading 5 Char"/>
    <w:basedOn w:val="731"/>
    <w:link w:val="726"/>
    <w:uiPriority w:val="9"/>
    <w:rPr>
      <w:rFonts w:ascii="Arial" w:hAnsi="Arial" w:eastAsia="Arial" w:cs="Arial"/>
      <w:b/>
      <w:bCs/>
      <w:sz w:val="24"/>
      <w:szCs w:val="24"/>
    </w:rPr>
  </w:style>
  <w:style w:type="character" w:styleId="689">
    <w:name w:val="Heading 6 Char"/>
    <w:basedOn w:val="731"/>
    <w:link w:val="727"/>
    <w:uiPriority w:val="9"/>
    <w:rPr>
      <w:rFonts w:ascii="Arial" w:hAnsi="Arial" w:eastAsia="Arial" w:cs="Arial"/>
      <w:b/>
      <w:bCs/>
      <w:sz w:val="22"/>
      <w:szCs w:val="22"/>
    </w:rPr>
  </w:style>
  <w:style w:type="character" w:styleId="690">
    <w:name w:val="Heading 7 Char"/>
    <w:basedOn w:val="731"/>
    <w:link w:val="728"/>
    <w:uiPriority w:val="9"/>
    <w:rPr>
      <w:rFonts w:ascii="Arial" w:hAnsi="Arial" w:eastAsia="Arial" w:cs="Arial"/>
      <w:b/>
      <w:bCs/>
      <w:i/>
      <w:iCs/>
      <w:sz w:val="22"/>
      <w:szCs w:val="22"/>
    </w:rPr>
  </w:style>
  <w:style w:type="character" w:styleId="691">
    <w:name w:val="Heading 8 Char"/>
    <w:basedOn w:val="731"/>
    <w:link w:val="729"/>
    <w:uiPriority w:val="9"/>
    <w:rPr>
      <w:rFonts w:ascii="Arial" w:hAnsi="Arial" w:eastAsia="Arial" w:cs="Arial"/>
      <w:i/>
      <w:iCs/>
      <w:sz w:val="22"/>
      <w:szCs w:val="22"/>
    </w:rPr>
  </w:style>
  <w:style w:type="character" w:styleId="692">
    <w:name w:val="Heading 9 Char"/>
    <w:basedOn w:val="731"/>
    <w:link w:val="730"/>
    <w:uiPriority w:val="9"/>
    <w:rPr>
      <w:rFonts w:ascii="Arial" w:hAnsi="Arial" w:eastAsia="Arial" w:cs="Arial"/>
      <w:i/>
      <w:iCs/>
      <w:sz w:val="21"/>
      <w:szCs w:val="21"/>
    </w:rPr>
  </w:style>
  <w:style w:type="character" w:styleId="693">
    <w:name w:val="Title Char"/>
    <w:basedOn w:val="731"/>
    <w:link w:val="762"/>
    <w:uiPriority w:val="10"/>
    <w:rPr>
      <w:sz w:val="48"/>
      <w:szCs w:val="48"/>
    </w:rPr>
  </w:style>
  <w:style w:type="character" w:styleId="694">
    <w:name w:val="Subtitle Char"/>
    <w:basedOn w:val="731"/>
    <w:link w:val="754"/>
    <w:uiPriority w:val="11"/>
    <w:rPr>
      <w:sz w:val="24"/>
      <w:szCs w:val="24"/>
    </w:rPr>
  </w:style>
  <w:style w:type="character" w:styleId="695">
    <w:name w:val="Quote Char"/>
    <w:link w:val="784"/>
    <w:uiPriority w:val="29"/>
    <w:rPr>
      <w:i/>
    </w:rPr>
  </w:style>
  <w:style w:type="character" w:styleId="696">
    <w:name w:val="Intense Quote Char"/>
    <w:link w:val="786"/>
    <w:uiPriority w:val="30"/>
    <w:rPr>
      <w:i/>
    </w:rPr>
  </w:style>
  <w:style w:type="character" w:styleId="697">
    <w:name w:val="Header Char"/>
    <w:basedOn w:val="731"/>
    <w:link w:val="751"/>
    <w:uiPriority w:val="99"/>
  </w:style>
  <w:style w:type="character" w:styleId="698">
    <w:name w:val="Caption Char"/>
    <w:basedOn w:val="739"/>
    <w:link w:val="750"/>
    <w:uiPriority w:val="99"/>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5"/>
    <w:uiPriority w:val="99"/>
    <w:rPr>
      <w:sz w:val="18"/>
    </w:rPr>
  </w:style>
  <w:style w:type="character" w:styleId="719">
    <w:name w:val="Endnote Text Char"/>
    <w:link w:val="748"/>
    <w:uiPriority w:val="99"/>
    <w:rPr>
      <w:sz w:val="20"/>
    </w:rPr>
  </w:style>
  <w:style w:type="paragraph" w:styleId="720">
    <w:name w:val="TOC Heading"/>
    <w:uiPriority w:val="39"/>
    <w:unhideWhenUsed/>
  </w:style>
  <w:style w:type="paragraph" w:styleId="721" w:default="1">
    <w:name w:val="Normal"/>
    <w:next w:val="733"/>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22">
    <w:name w:val="Heading 1"/>
    <w:basedOn w:val="721"/>
    <w:next w:val="721"/>
    <w:link w:val="773"/>
    <w:uiPriority w:val="9"/>
    <w:qFormat/>
    <w:pPr>
      <w:keepLines/>
      <w:keepNext/>
      <w:spacing w:before="480"/>
      <w:outlineLvl w:val="0"/>
    </w:pPr>
    <w:rPr>
      <w:rFonts w:ascii="Arial" w:hAnsi="Arial" w:eastAsia="Arial" w:cs="Arial"/>
      <w:sz w:val="40"/>
      <w:szCs w:val="40"/>
    </w:rPr>
  </w:style>
  <w:style w:type="paragraph" w:styleId="723">
    <w:name w:val="Heading 2"/>
    <w:basedOn w:val="721"/>
    <w:next w:val="721"/>
    <w:link w:val="774"/>
    <w:uiPriority w:val="9"/>
    <w:unhideWhenUsed/>
    <w:qFormat/>
    <w:pPr>
      <w:keepLines/>
      <w:keepNext/>
      <w:spacing w:before="360"/>
      <w:outlineLvl w:val="1"/>
    </w:pPr>
    <w:rPr>
      <w:rFonts w:ascii="Arial" w:hAnsi="Arial" w:eastAsia="Arial" w:cs="Arial"/>
      <w:sz w:val="34"/>
    </w:rPr>
  </w:style>
  <w:style w:type="paragraph" w:styleId="724">
    <w:name w:val="Heading 3"/>
    <w:basedOn w:val="721"/>
    <w:next w:val="721"/>
    <w:link w:val="775"/>
    <w:uiPriority w:val="9"/>
    <w:unhideWhenUsed/>
    <w:qFormat/>
    <w:pPr>
      <w:keepLines/>
      <w:keepNext/>
      <w:spacing w:before="320"/>
      <w:outlineLvl w:val="2"/>
    </w:pPr>
    <w:rPr>
      <w:rFonts w:ascii="Arial" w:hAnsi="Arial" w:eastAsia="Arial" w:cs="Arial"/>
      <w:sz w:val="30"/>
      <w:szCs w:val="30"/>
    </w:rPr>
  </w:style>
  <w:style w:type="paragraph" w:styleId="725">
    <w:name w:val="Heading 4"/>
    <w:basedOn w:val="721"/>
    <w:next w:val="721"/>
    <w:link w:val="776"/>
    <w:uiPriority w:val="9"/>
    <w:unhideWhenUsed/>
    <w:qFormat/>
    <w:pPr>
      <w:keepLines/>
      <w:keepNext/>
      <w:spacing w:before="320"/>
      <w:outlineLvl w:val="3"/>
    </w:pPr>
    <w:rPr>
      <w:rFonts w:ascii="Arial" w:hAnsi="Arial" w:eastAsia="Arial" w:cs="Arial"/>
      <w:b/>
      <w:bCs/>
      <w:sz w:val="26"/>
      <w:szCs w:val="26"/>
    </w:rPr>
  </w:style>
  <w:style w:type="paragraph" w:styleId="726">
    <w:name w:val="Heading 5"/>
    <w:basedOn w:val="721"/>
    <w:next w:val="721"/>
    <w:link w:val="777"/>
    <w:uiPriority w:val="9"/>
    <w:unhideWhenUsed/>
    <w:qFormat/>
    <w:pPr>
      <w:keepLines/>
      <w:keepNext/>
      <w:spacing w:before="320"/>
      <w:outlineLvl w:val="4"/>
    </w:pPr>
    <w:rPr>
      <w:rFonts w:ascii="Arial" w:hAnsi="Arial" w:eastAsia="Arial" w:cs="Arial"/>
      <w:b/>
      <w:bCs/>
      <w:sz w:val="24"/>
      <w:szCs w:val="24"/>
    </w:rPr>
  </w:style>
  <w:style w:type="paragraph" w:styleId="727">
    <w:name w:val="Heading 6"/>
    <w:basedOn w:val="721"/>
    <w:next w:val="721"/>
    <w:link w:val="778"/>
    <w:uiPriority w:val="9"/>
    <w:unhideWhenUsed/>
    <w:qFormat/>
    <w:pPr>
      <w:keepLines/>
      <w:keepNext/>
      <w:spacing w:before="320"/>
      <w:outlineLvl w:val="5"/>
    </w:pPr>
    <w:rPr>
      <w:rFonts w:ascii="Arial" w:hAnsi="Arial" w:eastAsia="Arial" w:cs="Arial"/>
      <w:b/>
      <w:bCs/>
    </w:rPr>
  </w:style>
  <w:style w:type="paragraph" w:styleId="728">
    <w:name w:val="Heading 7"/>
    <w:basedOn w:val="721"/>
    <w:next w:val="721"/>
    <w:link w:val="779"/>
    <w:uiPriority w:val="9"/>
    <w:unhideWhenUsed/>
    <w:qFormat/>
    <w:pPr>
      <w:keepLines/>
      <w:keepNext/>
      <w:spacing w:before="320"/>
      <w:outlineLvl w:val="6"/>
    </w:pPr>
    <w:rPr>
      <w:rFonts w:ascii="Arial" w:hAnsi="Arial" w:eastAsia="Arial" w:cs="Arial"/>
      <w:b/>
      <w:bCs/>
      <w:i/>
      <w:iCs/>
    </w:rPr>
  </w:style>
  <w:style w:type="paragraph" w:styleId="729">
    <w:name w:val="Heading 8"/>
    <w:basedOn w:val="721"/>
    <w:next w:val="721"/>
    <w:link w:val="780"/>
    <w:uiPriority w:val="9"/>
    <w:unhideWhenUsed/>
    <w:qFormat/>
    <w:pPr>
      <w:keepLines/>
      <w:keepNext/>
      <w:spacing w:before="320"/>
      <w:outlineLvl w:val="7"/>
    </w:pPr>
    <w:rPr>
      <w:rFonts w:ascii="Arial" w:hAnsi="Arial" w:eastAsia="Arial" w:cs="Arial"/>
      <w:i/>
      <w:iCs/>
    </w:rPr>
  </w:style>
  <w:style w:type="paragraph" w:styleId="730">
    <w:name w:val="Heading 9"/>
    <w:basedOn w:val="721"/>
    <w:next w:val="721"/>
    <w:link w:val="781"/>
    <w:uiPriority w:val="9"/>
    <w:unhideWhenUsed/>
    <w:qFormat/>
    <w:pPr>
      <w:keepLines/>
      <w:keepNext/>
      <w:spacing w:before="32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Document Map"/>
    <w:basedOn w:val="721"/>
    <w:next w:val="734"/>
    <w:uiPriority w:val="99"/>
    <w:qFormat/>
    <w:pPr>
      <w:shd w:val="clear" w:color="auto" w:fill="000080"/>
    </w:pPr>
  </w:style>
  <w:style w:type="paragraph" w:styleId="734">
    <w:name w:val="Body Text"/>
    <w:basedOn w:val="721"/>
    <w:next w:val="721"/>
    <w:uiPriority w:val="0"/>
    <w:qFormat/>
    <w:rPr>
      <w:rFonts w:ascii="楷体_GB2312" w:hAnsi="Arial" w:eastAsia="楷体_GB2312"/>
      <w:sz w:val="28"/>
    </w:rPr>
  </w:style>
  <w:style w:type="paragraph" w:styleId="735">
    <w:name w:val="macro"/>
    <w:link w:val="931"/>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36">
    <w:name w:val="toc 7"/>
    <w:basedOn w:val="721"/>
    <w:next w:val="721"/>
    <w:uiPriority w:val="39"/>
    <w:unhideWhenUsed/>
    <w:qFormat/>
    <w:pPr>
      <w:ind w:left="1701"/>
      <w:spacing w:after="57"/>
    </w:pPr>
  </w:style>
  <w:style w:type="paragraph" w:styleId="737">
    <w:name w:val="index 8"/>
    <w:basedOn w:val="721"/>
    <w:next w:val="721"/>
    <w:uiPriority w:val="0"/>
    <w:qFormat/>
    <w:pPr>
      <w:ind w:left="1400"/>
      <w:jc w:val="both"/>
      <w:spacing w:after="0" w:line="288" w:lineRule="auto"/>
      <w:widowControl w:val="off"/>
    </w:pPr>
    <w:rPr>
      <w:rFonts w:ascii="MiSans" w:hAnsi="MiSans" w:eastAsia="MiSans"/>
      <w:lang w:eastAsia="zh-CN"/>
    </w:rPr>
  </w:style>
  <w:style w:type="paragraph" w:styleId="738">
    <w:name w:val="Normal Indent"/>
    <w:basedOn w:val="721"/>
    <w:next w:val="721"/>
    <w:uiPriority w:val="0"/>
    <w:qFormat/>
    <w:pPr>
      <w:ind w:firstLine="420"/>
    </w:pPr>
  </w:style>
  <w:style w:type="paragraph" w:styleId="739">
    <w:name w:val="Caption"/>
    <w:basedOn w:val="721"/>
    <w:next w:val="721"/>
    <w:uiPriority w:val="35"/>
    <w:semiHidden/>
    <w:unhideWhenUsed/>
    <w:qFormat/>
    <w:rPr>
      <w:b/>
      <w:bCs/>
      <w:color w:val="5b9bd5" w:themeColor="accent1"/>
      <w:sz w:val="18"/>
      <w:szCs w:val="18"/>
      <w14:textFill>
        <w14:solidFill>
          <w14:schemeClr w14:val="accent1"/>
        </w14:solidFill>
      </w14:textFill>
    </w:rPr>
  </w:style>
  <w:style w:type="paragraph" w:styleId="740">
    <w:name w:val="List Bullet"/>
    <w:basedOn w:val="721"/>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41">
    <w:name w:val="annotation text"/>
    <w:basedOn w:val="721"/>
    <w:link w:val="946"/>
    <w:uiPriority w:val="99"/>
    <w:qFormat/>
    <w:rPr>
      <w:rFonts w:ascii="Calibri" w:hAnsi="Calibri"/>
    </w:rPr>
  </w:style>
  <w:style w:type="paragraph" w:styleId="742">
    <w:name w:val="Body Text Indent"/>
    <w:basedOn w:val="721"/>
    <w:next w:val="734"/>
    <w:link w:val="927"/>
    <w:uiPriority w:val="0"/>
    <w:qFormat/>
    <w:pPr>
      <w:ind w:firstLine="574"/>
      <w:spacing w:line="312" w:lineRule="atLeast"/>
    </w:pPr>
    <w:rPr>
      <w:rFonts w:ascii="宋体"/>
      <w:sz w:val="28"/>
    </w:rPr>
  </w:style>
  <w:style w:type="paragraph" w:styleId="743">
    <w:name w:val="Block Text"/>
    <w:basedOn w:val="721"/>
    <w:next w:val="734"/>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44">
    <w:name w:val="toc 5"/>
    <w:basedOn w:val="721"/>
    <w:next w:val="721"/>
    <w:uiPriority w:val="39"/>
    <w:unhideWhenUsed/>
    <w:qFormat/>
    <w:pPr>
      <w:ind w:left="1134"/>
      <w:spacing w:after="57"/>
    </w:pPr>
  </w:style>
  <w:style w:type="paragraph" w:styleId="745">
    <w:name w:val="toc 3"/>
    <w:basedOn w:val="721"/>
    <w:next w:val="721"/>
    <w:uiPriority w:val="39"/>
    <w:unhideWhenUsed/>
    <w:qFormat/>
    <w:pPr>
      <w:ind w:left="567"/>
      <w:spacing w:after="57"/>
    </w:pPr>
  </w:style>
  <w:style w:type="paragraph" w:styleId="746">
    <w:name w:val="Plain Text"/>
    <w:basedOn w:val="721"/>
    <w:uiPriority w:val="99"/>
    <w:qFormat/>
    <w:rPr>
      <w:rFonts w:ascii="宋体" w:hAnsi="Courier New"/>
    </w:rPr>
  </w:style>
  <w:style w:type="paragraph" w:styleId="747">
    <w:name w:val="toc 8"/>
    <w:basedOn w:val="721"/>
    <w:next w:val="721"/>
    <w:uiPriority w:val="39"/>
    <w:unhideWhenUsed/>
    <w:qFormat/>
    <w:pPr>
      <w:ind w:left="1984"/>
      <w:spacing w:after="57"/>
    </w:pPr>
  </w:style>
  <w:style w:type="paragraph" w:styleId="748">
    <w:name w:val="endnote text"/>
    <w:basedOn w:val="721"/>
    <w:link w:val="917"/>
    <w:uiPriority w:val="99"/>
    <w:semiHidden/>
    <w:unhideWhenUsed/>
    <w:qFormat/>
    <w:pPr>
      <w:spacing w:after="0" w:line="240" w:lineRule="auto"/>
    </w:pPr>
    <w:rPr>
      <w:sz w:val="20"/>
    </w:rPr>
  </w:style>
  <w:style w:type="paragraph" w:styleId="749">
    <w:name w:val="Balloon Text"/>
    <w:basedOn w:val="721"/>
    <w:link w:val="930"/>
    <w:uiPriority w:val="99"/>
    <w:semiHidden/>
    <w:unhideWhenUsed/>
    <w:qFormat/>
    <w:pPr>
      <w:spacing w:after="0" w:line="240" w:lineRule="auto"/>
    </w:pPr>
    <w:rPr>
      <w:sz w:val="18"/>
      <w:szCs w:val="18"/>
    </w:rPr>
  </w:style>
  <w:style w:type="paragraph" w:styleId="750">
    <w:name w:val="Footer"/>
    <w:basedOn w:val="721"/>
    <w:link w:val="790"/>
    <w:uiPriority w:val="99"/>
    <w:unhideWhenUsed/>
    <w:qFormat/>
    <w:pPr>
      <w:spacing w:after="0" w:line="240" w:lineRule="auto"/>
      <w:tabs>
        <w:tab w:val="center" w:pos="7143" w:leader="none"/>
        <w:tab w:val="right" w:pos="14287" w:leader="none"/>
      </w:tabs>
    </w:pPr>
  </w:style>
  <w:style w:type="paragraph" w:styleId="751">
    <w:name w:val="Header"/>
    <w:basedOn w:val="721"/>
    <w:link w:val="788"/>
    <w:uiPriority w:val="99"/>
    <w:unhideWhenUsed/>
    <w:qFormat/>
    <w:pPr>
      <w:spacing w:after="0" w:line="240" w:lineRule="auto"/>
      <w:tabs>
        <w:tab w:val="center" w:pos="7143" w:leader="none"/>
        <w:tab w:val="right" w:pos="14287" w:leader="none"/>
      </w:tabs>
    </w:pPr>
  </w:style>
  <w:style w:type="paragraph" w:styleId="752">
    <w:name w:val="toc 1"/>
    <w:basedOn w:val="721"/>
    <w:next w:val="721"/>
    <w:uiPriority w:val="39"/>
    <w:unhideWhenUsed/>
    <w:qFormat/>
    <w:pPr>
      <w:spacing w:after="57"/>
    </w:pPr>
  </w:style>
  <w:style w:type="paragraph" w:styleId="753">
    <w:name w:val="toc 4"/>
    <w:basedOn w:val="721"/>
    <w:next w:val="721"/>
    <w:uiPriority w:val="39"/>
    <w:unhideWhenUsed/>
    <w:qFormat/>
    <w:pPr>
      <w:ind w:left="850"/>
      <w:spacing w:after="57"/>
    </w:pPr>
  </w:style>
  <w:style w:type="paragraph" w:styleId="754">
    <w:name w:val="Subtitle"/>
    <w:basedOn w:val="721"/>
    <w:next w:val="721"/>
    <w:link w:val="783"/>
    <w:uiPriority w:val="11"/>
    <w:qFormat/>
    <w:pPr>
      <w:spacing w:before="200"/>
    </w:pPr>
    <w:rPr>
      <w:sz w:val="24"/>
      <w:szCs w:val="24"/>
    </w:rPr>
  </w:style>
  <w:style w:type="paragraph" w:styleId="755">
    <w:name w:val="footnote text"/>
    <w:basedOn w:val="721"/>
    <w:link w:val="916"/>
    <w:uiPriority w:val="99"/>
    <w:semiHidden/>
    <w:unhideWhenUsed/>
    <w:qFormat/>
    <w:pPr>
      <w:spacing w:after="40" w:line="240" w:lineRule="auto"/>
    </w:pPr>
    <w:rPr>
      <w:sz w:val="18"/>
    </w:rPr>
  </w:style>
  <w:style w:type="paragraph" w:styleId="756">
    <w:name w:val="toc 6"/>
    <w:basedOn w:val="721"/>
    <w:next w:val="721"/>
    <w:uiPriority w:val="39"/>
    <w:unhideWhenUsed/>
    <w:qFormat/>
    <w:pPr>
      <w:ind w:left="1417"/>
      <w:spacing w:after="57"/>
    </w:pPr>
  </w:style>
  <w:style w:type="paragraph" w:styleId="757">
    <w:name w:val="table of figures"/>
    <w:basedOn w:val="721"/>
    <w:next w:val="721"/>
    <w:uiPriority w:val="99"/>
    <w:unhideWhenUsed/>
    <w:qFormat/>
    <w:pPr>
      <w:spacing w:after="0"/>
    </w:pPr>
  </w:style>
  <w:style w:type="paragraph" w:styleId="758">
    <w:name w:val="toc 2"/>
    <w:basedOn w:val="721"/>
    <w:next w:val="721"/>
    <w:uiPriority w:val="39"/>
    <w:unhideWhenUsed/>
    <w:qFormat/>
    <w:pPr>
      <w:ind w:left="283"/>
      <w:spacing w:after="57"/>
    </w:pPr>
  </w:style>
  <w:style w:type="paragraph" w:styleId="759">
    <w:name w:val="toc 9"/>
    <w:basedOn w:val="721"/>
    <w:next w:val="721"/>
    <w:uiPriority w:val="39"/>
    <w:unhideWhenUsed/>
    <w:qFormat/>
    <w:pPr>
      <w:ind w:left="2268"/>
      <w:spacing w:after="57"/>
    </w:pPr>
  </w:style>
  <w:style w:type="paragraph" w:styleId="760">
    <w:name w:val="HTML Preformatted"/>
    <w:basedOn w:val="721"/>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61">
    <w:name w:val="Normal (Web)"/>
    <w:basedOn w:val="721"/>
    <w:uiPriority w:val="0"/>
    <w:qFormat/>
    <w:pPr>
      <w:spacing w:beforeAutospacing="1" w:after="0" w:afterAutospacing="1"/>
    </w:pPr>
    <w:rPr>
      <w:rFonts w:cs="Times New Roman"/>
      <w:szCs w:val="20"/>
      <w:lang w:eastAsia="zh-CN"/>
    </w:rPr>
  </w:style>
  <w:style w:type="paragraph" w:styleId="762">
    <w:name w:val="Title"/>
    <w:basedOn w:val="721"/>
    <w:next w:val="721"/>
    <w:link w:val="782"/>
    <w:uiPriority w:val="10"/>
    <w:qFormat/>
    <w:pPr>
      <w:contextualSpacing/>
      <w:spacing w:before="300"/>
    </w:pPr>
    <w:rPr>
      <w:sz w:val="48"/>
      <w:szCs w:val="48"/>
    </w:rPr>
  </w:style>
  <w:style w:type="paragraph" w:styleId="763">
    <w:name w:val="annotation subject"/>
    <w:basedOn w:val="741"/>
    <w:next w:val="741"/>
    <w:link w:val="947"/>
    <w:uiPriority w:val="99"/>
    <w:semiHidden/>
    <w:unhideWhenUsed/>
    <w:qFormat/>
    <w:rPr>
      <w:rFonts w:asciiTheme="minorHAnsi" w:hAnsiTheme="minorHAnsi"/>
      <w:b/>
      <w:bCs/>
    </w:rPr>
  </w:style>
  <w:style w:type="paragraph" w:styleId="764">
    <w:name w:val="Body Text First Indent 2"/>
    <w:basedOn w:val="742"/>
    <w:uiPriority w:val="0"/>
    <w:unhideWhenUsed/>
    <w:qFormat/>
    <w:pPr>
      <w:ind w:firstLine="420"/>
    </w:pPr>
    <w:rPr>
      <w:rFonts w:ascii="Times New Roman"/>
      <w:sz w:val="24"/>
      <w:szCs w:val="24"/>
    </w:rPr>
  </w:style>
  <w:style w:type="table" w:styleId="765">
    <w:name w:val="Table Grid"/>
    <w:basedOn w:val="7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31"/>
    <w:uiPriority w:val="22"/>
    <w:qFormat/>
    <w:rPr>
      <w:b/>
    </w:r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563c1" w:themeColor="hyperlink"/>
      <w:u w:val="single"/>
      <w14:textFill>
        <w14:solidFill>
          <w14:schemeClr w14:val="hlink"/>
        </w14:solidFill>
      </w14:textFill>
    </w:rPr>
  </w:style>
  <w:style w:type="character" w:styleId="769">
    <w:name w:val="annotation reference"/>
    <w:basedOn w:val="731"/>
    <w:uiPriority w:val="99"/>
    <w:semiHidden/>
    <w:unhideWhenUsed/>
    <w:qFormat/>
    <w:rPr>
      <w:sz w:val="21"/>
      <w:szCs w:val="21"/>
    </w:rPr>
  </w:style>
  <w:style w:type="character" w:styleId="770">
    <w:name w:val="footnote reference"/>
    <w:uiPriority w:val="99"/>
    <w:unhideWhenUsed/>
    <w:qFormat/>
    <w:rPr>
      <w:vertAlign w:val="superscript"/>
    </w:rPr>
  </w:style>
  <w:style w:type="paragraph" w:styleId="771" w:customStyle="1">
    <w:name w:val="正文首行缩进 21"/>
    <w:basedOn w:val="772"/>
    <w:uiPriority w:val="0"/>
    <w:qFormat/>
    <w:pPr>
      <w:ind w:firstLine="200"/>
      <w:spacing w:line="360" w:lineRule="auto"/>
    </w:pPr>
    <w:rPr>
      <w:rFonts w:ascii="宋体" w:eastAsia="宋体"/>
      <w:sz w:val="21"/>
      <w:szCs w:val="20"/>
    </w:rPr>
  </w:style>
  <w:style w:type="paragraph" w:styleId="772" w:customStyle="1">
    <w:name w:val="正文文本缩进1"/>
    <w:next w:val="721"/>
    <w:uiPriority w:val="0"/>
    <w:qFormat/>
    <w:pPr>
      <w:ind w:firstLine="645"/>
      <w:jc w:val="both"/>
      <w:widowControl w:val="off"/>
    </w:pPr>
    <w:rPr>
      <w:rFonts w:ascii="楷体_GB2312" w:hAnsi="宋体" w:eastAsia="楷体_GB2312" w:cs="宋体"/>
      <w:sz w:val="32"/>
      <w:szCs w:val="32"/>
      <w:lang w:val="en-US" w:eastAsia="zh-CN" w:bidi="ar-SA"/>
    </w:rPr>
  </w:style>
  <w:style w:type="character" w:styleId="773" w:customStyle="1">
    <w:name w:val="标题 1 字符"/>
    <w:link w:val="722"/>
    <w:uiPriority w:val="9"/>
    <w:qFormat/>
    <w:rPr>
      <w:rFonts w:ascii="Arial" w:hAnsi="Arial" w:eastAsia="Arial" w:cs="Arial"/>
      <w:sz w:val="40"/>
      <w:szCs w:val="40"/>
    </w:rPr>
  </w:style>
  <w:style w:type="character" w:styleId="774" w:customStyle="1">
    <w:name w:val="标题 2 字符"/>
    <w:link w:val="723"/>
    <w:uiPriority w:val="9"/>
    <w:qFormat/>
    <w:rPr>
      <w:rFonts w:ascii="Arial" w:hAnsi="Arial" w:eastAsia="Arial" w:cs="Arial"/>
      <w:sz w:val="34"/>
    </w:rPr>
  </w:style>
  <w:style w:type="character" w:styleId="775" w:customStyle="1">
    <w:name w:val="标题 3 字符"/>
    <w:link w:val="724"/>
    <w:uiPriority w:val="9"/>
    <w:qFormat/>
    <w:rPr>
      <w:rFonts w:ascii="Arial" w:hAnsi="Arial" w:eastAsia="Arial" w:cs="Arial"/>
      <w:sz w:val="30"/>
      <w:szCs w:val="30"/>
    </w:rPr>
  </w:style>
  <w:style w:type="character" w:styleId="776" w:customStyle="1">
    <w:name w:val="标题 4 字符"/>
    <w:link w:val="725"/>
    <w:uiPriority w:val="9"/>
    <w:qFormat/>
    <w:rPr>
      <w:rFonts w:ascii="Arial" w:hAnsi="Arial" w:eastAsia="Arial" w:cs="Arial"/>
      <w:b/>
      <w:bCs/>
      <w:sz w:val="26"/>
      <w:szCs w:val="26"/>
    </w:rPr>
  </w:style>
  <w:style w:type="character" w:styleId="777" w:customStyle="1">
    <w:name w:val="标题 5 字符"/>
    <w:link w:val="726"/>
    <w:uiPriority w:val="9"/>
    <w:qFormat/>
    <w:rPr>
      <w:rFonts w:ascii="Arial" w:hAnsi="Arial" w:eastAsia="Arial" w:cs="Arial"/>
      <w:b/>
      <w:bCs/>
      <w:sz w:val="24"/>
      <w:szCs w:val="24"/>
    </w:rPr>
  </w:style>
  <w:style w:type="character" w:styleId="778" w:customStyle="1">
    <w:name w:val="标题 6 字符"/>
    <w:link w:val="727"/>
    <w:uiPriority w:val="9"/>
    <w:qFormat/>
    <w:rPr>
      <w:rFonts w:ascii="Arial" w:hAnsi="Arial" w:eastAsia="Arial" w:cs="Arial"/>
      <w:b/>
      <w:bCs/>
      <w:sz w:val="22"/>
      <w:szCs w:val="22"/>
    </w:rPr>
  </w:style>
  <w:style w:type="character" w:styleId="779" w:customStyle="1">
    <w:name w:val="标题 7 字符"/>
    <w:link w:val="728"/>
    <w:uiPriority w:val="9"/>
    <w:qFormat/>
    <w:rPr>
      <w:rFonts w:ascii="Arial" w:hAnsi="Arial" w:eastAsia="Arial" w:cs="Arial"/>
      <w:b/>
      <w:bCs/>
      <w:i/>
      <w:iCs/>
      <w:sz w:val="22"/>
      <w:szCs w:val="22"/>
    </w:rPr>
  </w:style>
  <w:style w:type="character" w:styleId="780" w:customStyle="1">
    <w:name w:val="标题 8 字符"/>
    <w:link w:val="729"/>
    <w:uiPriority w:val="9"/>
    <w:qFormat/>
    <w:rPr>
      <w:rFonts w:ascii="Arial" w:hAnsi="Arial" w:eastAsia="Arial" w:cs="Arial"/>
      <w:i/>
      <w:iCs/>
      <w:sz w:val="22"/>
      <w:szCs w:val="22"/>
    </w:rPr>
  </w:style>
  <w:style w:type="character" w:styleId="781" w:customStyle="1">
    <w:name w:val="标题 9 字符"/>
    <w:link w:val="730"/>
    <w:uiPriority w:val="9"/>
    <w:qFormat/>
    <w:rPr>
      <w:rFonts w:ascii="Arial" w:hAnsi="Arial" w:eastAsia="Arial" w:cs="Arial"/>
      <w:i/>
      <w:iCs/>
      <w:sz w:val="21"/>
      <w:szCs w:val="21"/>
    </w:rPr>
  </w:style>
  <w:style w:type="character" w:styleId="782" w:customStyle="1">
    <w:name w:val="标题 字符"/>
    <w:link w:val="762"/>
    <w:uiPriority w:val="10"/>
    <w:qFormat/>
    <w:rPr>
      <w:sz w:val="48"/>
      <w:szCs w:val="48"/>
    </w:rPr>
  </w:style>
  <w:style w:type="character" w:styleId="783" w:customStyle="1">
    <w:name w:val="副标题 字符"/>
    <w:link w:val="754"/>
    <w:uiPriority w:val="11"/>
    <w:qFormat/>
    <w:rPr>
      <w:sz w:val="24"/>
      <w:szCs w:val="24"/>
    </w:rPr>
  </w:style>
  <w:style w:type="paragraph" w:styleId="784">
    <w:name w:val="Quote"/>
    <w:basedOn w:val="721"/>
    <w:next w:val="721"/>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21"/>
    <w:next w:val="72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页眉 字符"/>
    <w:link w:val="751"/>
    <w:uiPriority w:val="99"/>
    <w:qFormat/>
  </w:style>
  <w:style w:type="character" w:styleId="789" w:customStyle="1">
    <w:name w:val="Footer Char"/>
    <w:uiPriority w:val="99"/>
    <w:qFormat/>
  </w:style>
  <w:style w:type="character" w:styleId="790" w:customStyle="1">
    <w:name w:val="页脚 字符"/>
    <w:link w:val="750"/>
    <w:uiPriority w:val="99"/>
    <w:qFormat/>
  </w:style>
  <w:style w:type="table" w:styleId="791"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0"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1"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3"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6"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8"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8"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2"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4"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5"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6" w:customStyle="1">
    <w:name w:val="脚注文本 字符"/>
    <w:link w:val="755"/>
    <w:uiPriority w:val="99"/>
    <w:qFormat/>
    <w:rPr>
      <w:sz w:val="18"/>
    </w:rPr>
  </w:style>
  <w:style w:type="character" w:styleId="917" w:customStyle="1">
    <w:name w:val="尾注文本 字符"/>
    <w:link w:val="748"/>
    <w:uiPriority w:val="99"/>
    <w:qFormat/>
    <w:rPr>
      <w:sz w:val="20"/>
    </w:rPr>
  </w:style>
  <w:style w:type="paragraph" w:styleId="918"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19">
    <w:name w:val="No Spacing"/>
    <w:basedOn w:val="721"/>
    <w:uiPriority w:val="99"/>
    <w:qFormat/>
    <w:pPr>
      <w:spacing w:after="0" w:line="240" w:lineRule="auto"/>
    </w:pPr>
  </w:style>
  <w:style w:type="paragraph" w:styleId="920">
    <w:name w:val="List Paragraph"/>
    <w:basedOn w:val="721"/>
    <w:link w:val="955"/>
    <w:uiPriority w:val="34"/>
    <w:qFormat/>
    <w:pPr>
      <w:contextualSpacing/>
      <w:ind w:left="720"/>
    </w:pPr>
  </w:style>
  <w:style w:type="paragraph" w:styleId="921" w:customStyle="1">
    <w:name w:val="Plain Text2"/>
    <w:basedOn w:val="721"/>
    <w:uiPriority w:val="99"/>
    <w:qFormat/>
    <w:rPr>
      <w:rFonts w:ascii="宋体" w:hAnsi="Courier New" w:eastAsia="楷体_GB2312"/>
      <w:sz w:val="28"/>
    </w:rPr>
  </w:style>
  <w:style w:type="paragraph" w:styleId="922" w:customStyle="1">
    <w:name w:val="纯文本6"/>
    <w:basedOn w:val="721"/>
    <w:uiPriority w:val="0"/>
    <w:qFormat/>
    <w:rPr>
      <w:rFonts w:ascii="宋体" w:hAnsi="Courier New" w:eastAsia="楷体_GB2312"/>
      <w:sz w:val="26"/>
    </w:rPr>
  </w:style>
  <w:style w:type="paragraph" w:styleId="923" w:customStyle="1">
    <w:name w:val="_正文"/>
    <w:basedOn w:val="721"/>
    <w:uiPriority w:val="0"/>
    <w:qFormat/>
    <w:pPr>
      <w:ind w:firstLine="200"/>
      <w:spacing w:line="360" w:lineRule="auto"/>
    </w:pPr>
    <w:rPr>
      <w:sz w:val="24"/>
      <w:szCs w:val="24"/>
    </w:rPr>
  </w:style>
  <w:style w:type="paragraph" w:styleId="924" w:customStyle="1">
    <w:name w:val="纯文本1"/>
    <w:basedOn w:val="721"/>
    <w:uiPriority w:val="0"/>
    <w:qFormat/>
    <w:rPr>
      <w:rFonts w:ascii="宋体" w:hAnsi="Courier New" w:eastAsia="楷体_GB2312"/>
      <w:sz w:val="26"/>
    </w:rPr>
  </w:style>
  <w:style w:type="paragraph" w:styleId="925" w:customStyle="1">
    <w:name w:val="段"/>
    <w:next w:val="721"/>
    <w:uiPriority w:val="0"/>
    <w:qFormat/>
    <w:pPr>
      <w:ind w:firstLine="200"/>
      <w:jc w:val="both"/>
    </w:pPr>
    <w:rPr>
      <w:rFonts w:ascii="宋体" w:hAnsi="Times New Roman" w:eastAsia="宋体" w:cs="Times New Roman"/>
      <w:lang w:val="en-US" w:eastAsia="zh-CN" w:bidi="ar-SA"/>
    </w:rPr>
  </w:style>
  <w:style w:type="paragraph" w:styleId="926" w:customStyle="1">
    <w:name w:val="纯文本2"/>
    <w:basedOn w:val="721"/>
    <w:uiPriority w:val="0"/>
    <w:qFormat/>
    <w:rPr>
      <w:rFonts w:ascii="宋体" w:hAnsi="Courier New" w:eastAsia="楷体_GB2312" w:cs="Times New Roman"/>
      <w:sz w:val="26"/>
      <w:szCs w:val="20"/>
    </w:rPr>
  </w:style>
  <w:style w:type="character" w:styleId="927" w:customStyle="1">
    <w:name w:val="正文文本缩进 字符"/>
    <w:basedOn w:val="731"/>
    <w:link w:val="742"/>
    <w:uiPriority w:val="0"/>
    <w:qFormat/>
    <w:rPr>
      <w:rFonts w:hint="default" w:ascii="Arial" w:hAnsi="Arial" w:eastAsia="Arial" w:cs="Times New Roman"/>
      <w:sz w:val="22"/>
      <w:szCs w:val="22"/>
      <w:lang w:eastAsia="en-US"/>
    </w:rPr>
  </w:style>
  <w:style w:type="paragraph" w:styleId="928" w:customStyle="1">
    <w:name w:val="纯文本11"/>
    <w:basedOn w:val="721"/>
    <w:next w:val="929"/>
    <w:uiPriority w:val="0"/>
    <w:qFormat/>
    <w:pPr>
      <w:jc w:val="both"/>
      <w:widowControl w:val="off"/>
    </w:pPr>
    <w:rPr>
      <w:rFonts w:ascii="宋体" w:hAnsi="Courier New" w:eastAsia="楷体_GB2312"/>
      <w:sz w:val="28"/>
      <w:szCs w:val="20"/>
    </w:rPr>
  </w:style>
  <w:style w:type="paragraph" w:styleId="929" w:customStyle="1">
    <w:name w:val="页眉1"/>
    <w:basedOn w:val="721"/>
    <w:next w:val="72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30" w:customStyle="1">
    <w:name w:val="批注框文本 字符"/>
    <w:basedOn w:val="731"/>
    <w:link w:val="749"/>
    <w:uiPriority w:val="99"/>
    <w:semiHidden/>
    <w:qFormat/>
    <w:rPr>
      <w:rFonts w:asciiTheme="minorHAnsi" w:hAnsiTheme="minorHAnsi" w:eastAsiaTheme="minorHAnsi" w:cstheme="minorBidi"/>
      <w:sz w:val="18"/>
      <w:szCs w:val="18"/>
      <w:lang w:eastAsia="en-US"/>
    </w:rPr>
  </w:style>
  <w:style w:type="character" w:styleId="931" w:customStyle="1">
    <w:name w:val="宏文本 字符"/>
    <w:basedOn w:val="731"/>
    <w:link w:val="735"/>
    <w:uiPriority w:val="0"/>
    <w:qFormat/>
    <w:rPr>
      <w:rFonts w:ascii="Courier New" w:hAnsi="Courier New" w:cs="Courier New"/>
      <w:sz w:val="24"/>
      <w:szCs w:val="24"/>
    </w:rPr>
  </w:style>
  <w:style w:type="paragraph" w:styleId="932" w:customStyle="1">
    <w:name w:val="纯文本3"/>
    <w:basedOn w:val="721"/>
    <w:uiPriority w:val="0"/>
    <w:qFormat/>
    <w:rPr>
      <w:rFonts w:ascii="仿宋" w:hAnsi="Cambria Math" w:eastAsia="Wingdings" w:cs="华文楷体"/>
      <w:sz w:val="26"/>
      <w:szCs w:val="20"/>
    </w:rPr>
  </w:style>
  <w:style w:type="paragraph" w:styleId="933" w:customStyle="1">
    <w:name w:val="普通(网站)1"/>
    <w:basedOn w:val="721"/>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34" w:customStyle="1">
    <w:name w:val="NormalCharacter"/>
    <w:link w:val="935"/>
    <w:uiPriority w:val="0"/>
    <w:semiHidden/>
    <w:qFormat/>
    <w:rPr>
      <w:rFonts w:asciiTheme="minorHAnsi" w:hAnsiTheme="minorHAnsi" w:eastAsiaTheme="minorEastAsia" w:cstheme="minorBidi"/>
      <w:szCs w:val="22"/>
    </w:rPr>
  </w:style>
  <w:style w:type="paragraph" w:styleId="935" w:customStyle="1">
    <w:name w:val="UserStyle_3"/>
    <w:basedOn w:val="721"/>
    <w:link w:val="934"/>
    <w:uiPriority w:val="0"/>
    <w:qFormat/>
    <w:pPr>
      <w:spacing w:after="160" w:line="240" w:lineRule="exact"/>
    </w:pPr>
    <w:rPr>
      <w:rFonts w:eastAsiaTheme="minorEastAsia"/>
    </w:rPr>
  </w:style>
  <w:style w:type="character" w:styleId="936" w:customStyle="1">
    <w:name w:val="font11"/>
    <w:basedOn w:val="731"/>
    <w:uiPriority w:val="0"/>
    <w:qFormat/>
    <w:rPr>
      <w:rFonts w:hint="eastAsia" w:ascii="宋体" w:hAnsi="宋体" w:eastAsia="宋体" w:cs="宋体"/>
      <w:color w:val="000000"/>
      <w:sz w:val="21"/>
      <w:szCs w:val="21"/>
      <w:u w:val="none"/>
    </w:rPr>
  </w:style>
  <w:style w:type="character" w:styleId="937" w:customStyle="1">
    <w:name w:val="font21"/>
    <w:basedOn w:val="731"/>
    <w:uiPriority w:val="0"/>
    <w:qFormat/>
    <w:rPr>
      <w:rFonts w:ascii="Calibri" w:hAnsi="Calibri" w:cs="Calibri"/>
      <w:color w:val="000000"/>
      <w:sz w:val="21"/>
      <w:szCs w:val="21"/>
      <w:u w:val="none"/>
    </w:rPr>
  </w:style>
  <w:style w:type="character" w:styleId="938" w:customStyle="1">
    <w:name w:val="font31"/>
    <w:basedOn w:val="731"/>
    <w:uiPriority w:val="0"/>
    <w:qFormat/>
    <w:rPr>
      <w:rFonts w:ascii="Arial" w:hAnsi="Arial" w:cs="Arial"/>
      <w:color w:val="000000"/>
      <w:sz w:val="20"/>
      <w:szCs w:val="20"/>
      <w:u w:val="none"/>
    </w:rPr>
  </w:style>
  <w:style w:type="character" w:styleId="939" w:customStyle="1">
    <w:name w:val="font41"/>
    <w:basedOn w:val="731"/>
    <w:uiPriority w:val="0"/>
    <w:qFormat/>
    <w:rPr>
      <w:rFonts w:hint="eastAsia" w:ascii="微软雅黑" w:hAnsi="微软雅黑" w:eastAsia="微软雅黑" w:cs="微软雅黑"/>
      <w:color w:val="000000"/>
      <w:sz w:val="20"/>
      <w:szCs w:val="20"/>
      <w:u w:val="none"/>
      <w:vertAlign w:val="superscript"/>
    </w:rPr>
  </w:style>
  <w:style w:type="paragraph" w:styleId="940" w:customStyle="1">
    <w:name w:val="无间隔1"/>
    <w:basedOn w:val="721"/>
    <w:uiPriority w:val="1"/>
    <w:qFormat/>
    <w:pPr>
      <w:spacing w:after="0" w:line="240" w:lineRule="auto"/>
    </w:pPr>
    <w:rPr>
      <w:rFonts w:ascii="Times New Roman" w:hAnsi="Times New Roman" w:eastAsia="宋体" w:cs="Times New Roman"/>
    </w:rPr>
  </w:style>
  <w:style w:type="paragraph" w:styleId="941" w:customStyle="1">
    <w:name w:val="￥正文"/>
    <w:basedOn w:val="721"/>
    <w:link w:val="943"/>
    <w:uiPriority w:val="0"/>
    <w:qFormat/>
    <w:pPr>
      <w:ind w:firstLine="200"/>
      <w:spacing w:line="360" w:lineRule="auto"/>
    </w:pPr>
    <w:rPr>
      <w:rFonts w:ascii="Calibri" w:hAnsi="Calibri"/>
      <w:sz w:val="24"/>
    </w:rPr>
  </w:style>
  <w:style w:type="paragraph" w:styleId="942" w:customStyle="1">
    <w:name w:val="首行缩进"/>
    <w:basedOn w:val="721"/>
    <w:uiPriority w:val="0"/>
    <w:qFormat/>
    <w:pPr>
      <w:ind w:firstLine="480"/>
      <w:spacing w:line="360" w:lineRule="auto"/>
    </w:pPr>
    <w:rPr>
      <w:rFonts w:ascii="宋体" w:hAnsi="宋体"/>
      <w:sz w:val="24"/>
      <w:szCs w:val="24"/>
    </w:rPr>
  </w:style>
  <w:style w:type="character" w:styleId="943" w:customStyle="1">
    <w:name w:val="￥正文 Char"/>
    <w:link w:val="941"/>
    <w:uiPriority w:val="0"/>
    <w:qFormat/>
    <w:rPr>
      <w:rFonts w:ascii="Calibri" w:hAnsi="Calibri"/>
      <w:sz w:val="24"/>
      <w:szCs w:val="22"/>
    </w:rPr>
  </w:style>
  <w:style w:type="paragraph" w:styleId="944" w:customStyle="1">
    <w:name w:val="方案正文"/>
    <w:basedOn w:val="721"/>
    <w:uiPriority w:val="0"/>
    <w:qFormat/>
    <w:pPr>
      <w:spacing w:line="440" w:lineRule="atLeast"/>
    </w:pPr>
    <w:rPr>
      <w:sz w:val="24"/>
    </w:rPr>
  </w:style>
  <w:style w:type="paragraph" w:styleId="945"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46" w:customStyle="1">
    <w:name w:val="批注文字 字符"/>
    <w:basedOn w:val="731"/>
    <w:link w:val="741"/>
    <w:uiPriority w:val="99"/>
    <w:qFormat/>
    <w:rPr>
      <w:rFonts w:ascii="Calibri" w:hAnsi="Calibri" w:eastAsiaTheme="minorHAnsi" w:cstheme="minorBidi"/>
      <w:sz w:val="22"/>
      <w:szCs w:val="22"/>
      <w:lang w:eastAsia="en-US"/>
    </w:rPr>
  </w:style>
  <w:style w:type="character" w:styleId="947" w:customStyle="1">
    <w:name w:val="批注主题 字符"/>
    <w:basedOn w:val="946"/>
    <w:link w:val="763"/>
    <w:uiPriority w:val="99"/>
    <w:semiHidden/>
    <w:qFormat/>
    <w:rPr>
      <w:rFonts w:asciiTheme="minorHAnsi" w:hAnsiTheme="minorHAnsi" w:eastAsiaTheme="minorHAnsi" w:cstheme="minorBidi"/>
      <w:b/>
      <w:bCs/>
      <w:sz w:val="22"/>
      <w:szCs w:val="22"/>
      <w:lang w:eastAsia="en-US"/>
    </w:rPr>
  </w:style>
  <w:style w:type="paragraph" w:styleId="948" w:customStyle="1">
    <w:name w:val="Heading 3"/>
    <w:basedOn w:val="721"/>
    <w:next w:val="721"/>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49" w:customStyle="1">
    <w:name w:val="null3"/>
    <w:hidden/>
    <w:uiPriority w:val="0"/>
    <w:qFormat/>
    <w:rPr>
      <w:rFonts w:hint="eastAsia" w:asciiTheme="minorHAnsi" w:hAnsiTheme="minorHAnsi" w:eastAsiaTheme="minorEastAsia" w:cstheme="minorBidi"/>
      <w:lang w:val="en-US" w:eastAsia="zh-CN" w:bidi="ar-SA"/>
    </w:rPr>
  </w:style>
  <w:style w:type="paragraph" w:styleId="9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51" w:customStyle="1">
    <w:name w:val="列表段落1"/>
    <w:basedOn w:val="721"/>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52" w:customStyle="1">
    <w:name w:val="Table Normal"/>
    <w:uiPriority w:val="0"/>
    <w:unhideWhenUsed/>
    <w:qFormat/>
    <w:tblPr>
      <w:tblCellMar>
        <w:left w:w="0" w:type="dxa"/>
        <w:top w:w="0" w:type="dxa"/>
        <w:right w:w="0" w:type="dxa"/>
        <w:bottom w:w="0" w:type="dxa"/>
      </w:tblCellMar>
    </w:tblPr>
  </w:style>
  <w:style w:type="paragraph" w:styleId="953" w:customStyle="1">
    <w:name w:val="Table Text"/>
    <w:basedOn w:val="721"/>
    <w:uiPriority w:val="0"/>
    <w:semiHidden/>
    <w:qFormat/>
    <w:rPr>
      <w:rFonts w:ascii="宋体" w:hAnsi="宋体" w:eastAsiaTheme="minorEastAsia"/>
      <w:szCs w:val="21"/>
    </w:rPr>
  </w:style>
  <w:style w:type="paragraph" w:styleId="954" w:customStyle="1">
    <w:name w:val="*正文"/>
    <w:basedOn w:val="721"/>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55" w:customStyle="1">
    <w:name w:val="列表段落 字符"/>
    <w:link w:val="920"/>
    <w:uiPriority w:val="34"/>
    <w:qFormat/>
    <w:rPr>
      <w:rFonts w:asciiTheme="minorHAnsi" w:hAnsiTheme="minorHAnsi" w:eastAsiaTheme="minorHAnsi" w:cstheme="minorBidi"/>
      <w:sz w:val="22"/>
      <w:szCs w:val="22"/>
      <w:lang w:eastAsia="en-US"/>
    </w:rPr>
  </w:style>
  <w:style w:type="paragraph" w:styleId="956" w:customStyle="1">
    <w:name w:val="配件图"/>
    <w:basedOn w:val="721"/>
    <w:uiPriority w:val="0"/>
    <w:qFormat/>
    <w:pPr>
      <w:jc w:val="center"/>
      <w:framePr w:hSpace="180" w:wrap="around" w:vAnchor="page" w:hAnchor="margin" w:y="5726"/>
    </w:pPr>
  </w:style>
  <w:style w:type="paragraph" w:styleId="957" w:customStyle="1">
    <w:name w:val="一级条标题"/>
    <w:basedOn w:val="958"/>
    <w:next w:val="92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customStyle="1">
    <w:name w:val="章标题"/>
    <w:next w:val="72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9" w:customStyle="1">
    <w:name w:val="正文（缩进）"/>
    <w:basedOn w:val="721"/>
    <w:uiPriority w:val="0"/>
    <w:qFormat/>
    <w:pPr>
      <w:ind w:firstLine="480"/>
      <w:spacing w:line="360" w:lineRule="auto"/>
    </w:pPr>
    <w:rPr>
      <w:rFonts w:ascii="宋体" w:hAnsi="宋体"/>
      <w:sz w:val="24"/>
      <w:szCs w:val="24"/>
    </w:rPr>
  </w:style>
  <w:style w:type="paragraph" w:styleId="960" w:customStyle="1">
    <w:name w:val="BodyText"/>
    <w:basedOn w:val="721"/>
    <w:uiPriority w:val="0"/>
    <w:qFormat/>
    <w:pPr>
      <w:jc w:val="both"/>
      <w:spacing w:after="120"/>
    </w:pPr>
    <w:rPr>
      <w:rFonts w:ascii="Times New Roman" w:hAnsi="Times New Roman" w:eastAsia="宋体"/>
      <w:sz w:val="21"/>
      <w:szCs w:val="24"/>
      <w:lang w:eastAsia="zh-CN"/>
    </w:rPr>
  </w:style>
  <w:style w:type="paragraph" w:styleId="961" w:customStyle="1">
    <w:name w:val="正文文本1"/>
    <w:basedOn w:val="721"/>
    <w:next w:val="721"/>
    <w:uiPriority w:val="99"/>
    <w:qFormat/>
    <w:rPr>
      <w:rFonts w:ascii="楷体_GB2312" w:eastAsia="楷体_GB2312"/>
      <w:sz w:val="28"/>
    </w:rPr>
  </w:style>
  <w:style w:type="paragraph" w:styleId="962" w:customStyle="1">
    <w:name w:val="标题 21"/>
    <w:basedOn w:val="721"/>
    <w:next w:val="721"/>
    <w:uiPriority w:val="9"/>
    <w:qFormat/>
    <w:pPr>
      <w:keepLines/>
      <w:keepNext/>
      <w:spacing w:before="360"/>
      <w:outlineLvl w:val="1"/>
    </w:pPr>
    <w:rPr>
      <w:sz w:val="34"/>
      <w:szCs w:val="20"/>
    </w:rPr>
  </w:style>
  <w:style w:type="paragraph" w:styleId="9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4" w:customStyle="1">
    <w:name w:val="列出段落1"/>
    <w:basedOn w:val="721"/>
    <w:uiPriority w:val="0"/>
    <w:qFormat/>
    <w:pPr>
      <w:ind w:firstLine="420"/>
    </w:pPr>
    <w:rPr>
      <w:rFonts w:ascii="Arial" w:hAnsi="Arial" w:eastAsia="Arial"/>
      <w:szCs w:val="21"/>
    </w:rPr>
  </w:style>
  <w:style w:type="paragraph" w:styleId="965" w:customStyle="1">
    <w:name w:val="页脚1"/>
    <w:basedOn w:val="721"/>
    <w:uiPriority w:val="99"/>
    <w:unhideWhenUsed/>
    <w:qFormat/>
    <w:pPr>
      <w:tabs>
        <w:tab w:val="center" w:pos="7143" w:leader="none"/>
        <w:tab w:val="right" w:pos="14287" w:leader="none"/>
      </w:tabs>
    </w:pPr>
  </w:style>
  <w:style w:type="paragraph" w:styleId="966" w:customStyle="1">
    <w:name w:val="修订2"/>
    <w:hidden/>
    <w:uiPriority w:val="99"/>
    <w:semiHidden/>
    <w:qFormat/>
    <w:rPr>
      <w:rFonts w:asciiTheme="minorHAnsi" w:hAnsiTheme="minorHAnsi" w:eastAsiaTheme="minorHAnsi" w:cstheme="minorBidi"/>
      <w:sz w:val="22"/>
      <w:szCs w:val="22"/>
      <w:lang w:val="en-US" w:eastAsia="en-US" w:bidi="ar-SA"/>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56CDB78-9D69-45AB-AC95-35448571A4D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cp:revision>
  <dcterms:created xsi:type="dcterms:W3CDTF">2025-11-07T20:15:00Z</dcterms:created>
  <dcterms:modified xsi:type="dcterms:W3CDTF">2025-11-11T06:49:40Z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37E40637D8513967EF7E1169C21BE733_43</vt:lpwstr>
  </property>
  <property fmtid="{D5CDD505-2E9C-101B-9397-08002B2CF9AE}" pid="4" name="KSOTemplateDocerSaveRecord">
    <vt:lpwstr>eyJoZGlkIjoiZGEzMjAzMTNjYmY3YjUwZTlmNDZmNzhmZTRlMmQ2ODMiLCJ1c2VySWQiOiIxMzQ4NDczMzMwIn0=</vt:lpwstr>
  </property>
</Properties>
</file>